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AC" w:rsidRDefault="00C85CD3">
      <w:pPr>
        <w:spacing w:after="0" w:line="240" w:lineRule="auto"/>
        <w:rPr>
          <w:b/>
          <w:i/>
        </w:rPr>
      </w:pPr>
      <w:bookmarkStart w:id="0" w:name="_gjdgxs" w:colFirst="0" w:colLast="0"/>
      <w:bookmarkEnd w:id="0"/>
      <w:r>
        <w:rPr>
          <w:b/>
          <w:i/>
        </w:rPr>
        <w:t>Instructions:</w:t>
      </w:r>
    </w:p>
    <w:p w:rsidR="00C37EAC" w:rsidRDefault="00C85CD3">
      <w:pPr>
        <w:spacing w:after="0" w:line="240" w:lineRule="auto"/>
      </w:pPr>
      <w:bookmarkStart w:id="1" w:name="_30j0zll" w:colFirst="0" w:colLast="0"/>
      <w:bookmarkEnd w:id="1"/>
      <w:r>
        <w:t xml:space="preserve">This template uses form fields to organize responses to the required three-year planning prompts. You may easily navigate the template by clicking on each of the shaded fields or by using the Tab key. </w:t>
      </w:r>
    </w:p>
    <w:p w:rsidR="00C37EAC" w:rsidRDefault="00C37EAC">
      <w:pPr>
        <w:spacing w:after="0" w:line="240" w:lineRule="auto"/>
      </w:pPr>
    </w:p>
    <w:p w:rsidR="00C37EAC" w:rsidRDefault="00C85CD3">
      <w:pPr>
        <w:spacing w:after="0" w:line="240" w:lineRule="auto"/>
      </w:pPr>
      <w:r>
        <w:t xml:space="preserve">This document </w:t>
      </w:r>
      <w:proofErr w:type="gramStart"/>
      <w:r>
        <w:t>has been protected</w:t>
      </w:r>
      <w:proofErr w:type="gramEnd"/>
      <w:r>
        <w:t xml:space="preserve"> to enable use of form fields and to guard against accidental edits to the template. Should the need </w:t>
      </w:r>
      <w:proofErr w:type="gramStart"/>
      <w:r>
        <w:t>arise,</w:t>
      </w:r>
      <w:proofErr w:type="gramEnd"/>
      <w:r>
        <w:t xml:space="preserve"> the document may be unlocked temporarily. Use cases may include adding charts, tables, or graphics to narrative sections, expanding Table 1, adding appendices, or updating the table of contents, among others.  You may temporarily unlock the template by toggling the </w:t>
      </w:r>
      <w:r>
        <w:rPr>
          <w:b/>
        </w:rPr>
        <w:t>Protect Form</w:t>
      </w:r>
      <w:r>
        <w:t xml:space="preserve"> button (</w:t>
      </w:r>
      <w:r>
        <w:rPr>
          <w:noProof/>
        </w:rPr>
        <w:drawing>
          <wp:inline distT="0" distB="0" distL="0" distR="0">
            <wp:extent cx="174758" cy="1747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4758" cy="174758"/>
                    </a:xfrm>
                    <a:prstGeom prst="rect">
                      <a:avLst/>
                    </a:prstGeom>
                    <a:ln/>
                  </pic:spPr>
                </pic:pic>
              </a:graphicData>
            </a:graphic>
          </wp:inline>
        </w:drawing>
      </w:r>
      <w:r>
        <w:t xml:space="preserve">) on the </w:t>
      </w:r>
      <w:r>
        <w:rPr>
          <w:b/>
        </w:rPr>
        <w:t>Developer Tab</w:t>
      </w:r>
      <w:r>
        <w:t xml:space="preserve"> on the Microsoft Office ribbon. The Developer Tab does not appear by default, so it </w:t>
      </w:r>
      <w:proofErr w:type="gramStart"/>
      <w:r>
        <w:t>must first be enabled</w:t>
      </w:r>
      <w:proofErr w:type="gramEnd"/>
      <w:r>
        <w:t xml:space="preserve"> in order to use this feature. Instructions for how to enable the Developer Tab </w:t>
      </w:r>
      <w:proofErr w:type="gramStart"/>
      <w:r>
        <w:t>may be found</w:t>
      </w:r>
      <w:proofErr w:type="gramEnd"/>
      <w:r>
        <w:t xml:space="preserve"> here:  </w:t>
      </w:r>
      <w:hyperlink r:id="rId9">
        <w:r>
          <w:rPr>
            <w:color w:val="0563C1"/>
            <w:u w:val="single"/>
          </w:rPr>
          <w:t>https://docs.microsoft.com/en-us/visualstudio/vsto/how-to-show-the-developer-tab-on-the-ribbon?view=vs-2017</w:t>
        </w:r>
      </w:hyperlink>
    </w:p>
    <w:p w:rsidR="00C37EAC" w:rsidRDefault="00C37EAC">
      <w:pPr>
        <w:spacing w:after="0" w:line="240" w:lineRule="auto"/>
      </w:pPr>
    </w:p>
    <w:p w:rsidR="00C37EAC" w:rsidRDefault="00C85CD3">
      <w:pPr>
        <w:spacing w:after="0" w:line="240" w:lineRule="auto"/>
      </w:pPr>
      <w:r>
        <w:rPr>
          <w:b/>
        </w:rPr>
        <w:t>Please note</w:t>
      </w:r>
      <w:r>
        <w:t xml:space="preserve">: Form fields will not work correctly unless form protection is on. Please be sure to remember to re-enable it once you have finished your work and before submitting to the AEP office. </w:t>
      </w:r>
    </w:p>
    <w:p w:rsidR="00C37EAC" w:rsidRDefault="00C37EAC">
      <w:pPr>
        <w:pStyle w:val="Heading1"/>
      </w:pPr>
    </w:p>
    <w:p w:rsidR="00C37EAC" w:rsidRDefault="00C85CD3">
      <w:pPr>
        <w:widowControl w:val="0"/>
        <w:pBdr>
          <w:top w:val="nil"/>
          <w:left w:val="nil"/>
          <w:bottom w:val="nil"/>
          <w:right w:val="nil"/>
          <w:between w:val="nil"/>
        </w:pBdr>
        <w:spacing w:after="0"/>
        <w:sectPr w:rsidR="00C37EAC">
          <w:headerReference w:type="default" r:id="rId10"/>
          <w:footerReference w:type="default" r:id="rId11"/>
          <w:headerReference w:type="first" r:id="rId12"/>
          <w:footerReference w:type="first" r:id="rId13"/>
          <w:pgSz w:w="12240" w:h="15840"/>
          <w:pgMar w:top="1739" w:right="1440" w:bottom="1440" w:left="1440" w:header="720" w:footer="720" w:gutter="0"/>
          <w:pgNumType w:start="1"/>
          <w:cols w:space="720"/>
          <w:titlePg/>
        </w:sectPr>
      </w:pPr>
      <w:r>
        <w:br w:type="page"/>
      </w:r>
    </w:p>
    <w:p w:rsidR="00C37EAC" w:rsidRDefault="00C85CD3">
      <w:pPr>
        <w:pStyle w:val="Heading1"/>
      </w:pPr>
      <w:r>
        <w:lastRenderedPageBreak/>
        <w:t>Section 1: Consortium Information</w:t>
      </w:r>
    </w:p>
    <w:p w:rsidR="00C37EAC" w:rsidRDefault="005B0BBA">
      <w:pPr>
        <w:pStyle w:val="Title"/>
        <w:spacing w:after="240"/>
        <w:rPr>
          <w:color w:val="04326C"/>
          <w:sz w:val="72"/>
          <w:szCs w:val="72"/>
        </w:rPr>
      </w:pPr>
      <w:bookmarkStart w:id="2" w:name="1fob9te" w:colFirst="0" w:colLast="0"/>
      <w:bookmarkEnd w:id="2"/>
      <w:r>
        <w:rPr>
          <w:color w:val="04326C"/>
          <w:sz w:val="72"/>
          <w:szCs w:val="72"/>
        </w:rPr>
        <w:t>South Orange County Regional</w:t>
      </w:r>
    </w:p>
    <w:p w:rsidR="00C37EAC" w:rsidRDefault="00C85CD3">
      <w:pPr>
        <w:spacing w:after="0"/>
        <w:rPr>
          <w:rFonts w:ascii="Calibri" w:eastAsia="Calibri" w:hAnsi="Calibri" w:cs="Calibri"/>
          <w:b/>
          <w:color w:val="04326C"/>
          <w:sz w:val="24"/>
          <w:szCs w:val="24"/>
        </w:rPr>
      </w:pPr>
      <w:bookmarkStart w:id="3" w:name="3znysh7" w:colFirst="0" w:colLast="0"/>
      <w:bookmarkEnd w:id="3"/>
      <w:r w:rsidRPr="0017456D">
        <w:rPr>
          <w:rFonts w:ascii="Calibri" w:eastAsia="Calibri" w:hAnsi="Calibri" w:cs="Calibri"/>
          <w:color w:val="04326C"/>
          <w:sz w:val="24"/>
          <w:szCs w:val="24"/>
        </w:rPr>
        <w:t>Primary Contact Name</w:t>
      </w:r>
      <w:r w:rsidR="00A35CA9" w:rsidRPr="0017456D">
        <w:rPr>
          <w:rFonts w:ascii="Calibri" w:eastAsia="Calibri" w:hAnsi="Calibri" w:cs="Calibri"/>
          <w:color w:val="04326C"/>
          <w:sz w:val="24"/>
          <w:szCs w:val="24"/>
        </w:rPr>
        <w:t>:</w:t>
      </w:r>
      <w:r w:rsidR="00A35CA9">
        <w:rPr>
          <w:rFonts w:ascii="Calibri" w:eastAsia="Calibri" w:hAnsi="Calibri" w:cs="Calibri"/>
          <w:b/>
          <w:color w:val="04326C"/>
          <w:sz w:val="24"/>
          <w:szCs w:val="24"/>
        </w:rPr>
        <w:t xml:space="preserve"> Debbie Vanschoelandt </w:t>
      </w:r>
    </w:p>
    <w:p w:rsidR="00C37EAC" w:rsidRPr="0017456D" w:rsidRDefault="00C85CD3">
      <w:pPr>
        <w:spacing w:after="0"/>
        <w:rPr>
          <w:rFonts w:ascii="Calibri" w:eastAsia="Calibri" w:hAnsi="Calibri" w:cs="Calibri"/>
          <w:b/>
          <w:color w:val="04326C"/>
          <w:sz w:val="24"/>
          <w:szCs w:val="24"/>
        </w:rPr>
      </w:pPr>
      <w:r>
        <w:rPr>
          <w:rFonts w:ascii="Calibri" w:eastAsia="Calibri" w:hAnsi="Calibri" w:cs="Calibri"/>
          <w:color w:val="04326C"/>
          <w:sz w:val="24"/>
          <w:szCs w:val="24"/>
        </w:rPr>
        <w:t>Title</w:t>
      </w:r>
      <w:r w:rsidR="0005078A">
        <w:rPr>
          <w:rFonts w:ascii="Calibri" w:eastAsia="Calibri" w:hAnsi="Calibri" w:cs="Calibri"/>
          <w:color w:val="04326C"/>
          <w:sz w:val="24"/>
          <w:szCs w:val="24"/>
        </w:rPr>
        <w:t xml:space="preserve">: </w:t>
      </w:r>
      <w:r w:rsidR="0005078A" w:rsidRPr="0017456D">
        <w:rPr>
          <w:rFonts w:ascii="Calibri" w:eastAsia="Calibri" w:hAnsi="Calibri" w:cs="Calibri"/>
          <w:b/>
          <w:color w:val="04326C"/>
          <w:sz w:val="24"/>
          <w:szCs w:val="24"/>
        </w:rPr>
        <w:t>Dean,</w:t>
      </w:r>
      <w:r w:rsidR="0017456D" w:rsidRPr="0017456D">
        <w:rPr>
          <w:rFonts w:ascii="Calibri" w:eastAsia="Calibri" w:hAnsi="Calibri" w:cs="Calibri"/>
          <w:b/>
          <w:color w:val="04326C"/>
          <w:sz w:val="24"/>
          <w:szCs w:val="24"/>
        </w:rPr>
        <w:t xml:space="preserve"> Career and Continuing Education, and Integrated Design, Engineering and Automation at Irvine Valley College</w:t>
      </w:r>
    </w:p>
    <w:p w:rsidR="00C37EAC" w:rsidRDefault="00C85CD3">
      <w:pPr>
        <w:spacing w:after="0"/>
        <w:rPr>
          <w:rFonts w:ascii="Calibri" w:eastAsia="Calibri" w:hAnsi="Calibri" w:cs="Calibri"/>
          <w:color w:val="04326C"/>
          <w:sz w:val="24"/>
          <w:szCs w:val="24"/>
        </w:rPr>
      </w:pPr>
      <w:r>
        <w:rPr>
          <w:rFonts w:ascii="Calibri" w:eastAsia="Calibri" w:hAnsi="Calibri" w:cs="Calibri"/>
          <w:color w:val="04326C"/>
          <w:sz w:val="24"/>
          <w:szCs w:val="24"/>
        </w:rPr>
        <w:t>Phone</w:t>
      </w:r>
      <w:r w:rsidR="0005078A">
        <w:rPr>
          <w:rFonts w:ascii="Calibri" w:eastAsia="Calibri" w:hAnsi="Calibri" w:cs="Calibri"/>
          <w:color w:val="04326C"/>
          <w:sz w:val="24"/>
          <w:szCs w:val="24"/>
        </w:rPr>
        <w:t>:</w:t>
      </w:r>
      <w:r w:rsidR="0017456D">
        <w:rPr>
          <w:rFonts w:ascii="Calibri" w:eastAsia="Calibri" w:hAnsi="Calibri" w:cs="Calibri"/>
          <w:color w:val="04326C"/>
          <w:sz w:val="24"/>
          <w:szCs w:val="24"/>
        </w:rPr>
        <w:t xml:space="preserve"> </w:t>
      </w:r>
      <w:r w:rsidR="0017456D" w:rsidRPr="0017456D">
        <w:rPr>
          <w:rFonts w:ascii="Calibri" w:eastAsia="Calibri" w:hAnsi="Calibri" w:cs="Calibri"/>
          <w:b/>
          <w:color w:val="04326C"/>
          <w:sz w:val="24"/>
          <w:szCs w:val="24"/>
        </w:rPr>
        <w:t>949-367-8310</w:t>
      </w:r>
    </w:p>
    <w:p w:rsidR="00C37EAC" w:rsidRDefault="00C85CD3">
      <w:pPr>
        <w:spacing w:after="0"/>
        <w:rPr>
          <w:rFonts w:ascii="Calibri" w:eastAsia="Calibri" w:hAnsi="Calibri" w:cs="Calibri"/>
          <w:color w:val="04326C"/>
          <w:sz w:val="24"/>
          <w:szCs w:val="24"/>
        </w:rPr>
      </w:pPr>
      <w:r>
        <w:rPr>
          <w:rFonts w:ascii="Calibri" w:eastAsia="Calibri" w:hAnsi="Calibri" w:cs="Calibri"/>
          <w:color w:val="04326C"/>
          <w:sz w:val="24"/>
          <w:szCs w:val="24"/>
        </w:rPr>
        <w:t>Email</w:t>
      </w:r>
      <w:r w:rsidR="0005078A">
        <w:rPr>
          <w:rFonts w:ascii="Calibri" w:eastAsia="Calibri" w:hAnsi="Calibri" w:cs="Calibri"/>
          <w:color w:val="04326C"/>
          <w:sz w:val="24"/>
          <w:szCs w:val="24"/>
        </w:rPr>
        <w:t>:</w:t>
      </w:r>
      <w:r w:rsidR="0017456D">
        <w:rPr>
          <w:rFonts w:ascii="Calibri" w:eastAsia="Calibri" w:hAnsi="Calibri" w:cs="Calibri"/>
          <w:color w:val="04326C"/>
          <w:sz w:val="24"/>
          <w:szCs w:val="24"/>
        </w:rPr>
        <w:t xml:space="preserve"> </w:t>
      </w:r>
      <w:r w:rsidR="0017456D" w:rsidRPr="0017456D">
        <w:rPr>
          <w:rFonts w:ascii="Calibri" w:eastAsia="Calibri" w:hAnsi="Calibri" w:cs="Calibri"/>
          <w:b/>
          <w:color w:val="04326C"/>
          <w:sz w:val="24"/>
          <w:szCs w:val="24"/>
        </w:rPr>
        <w:t>dvanschoelandt@ivc.edu</w:t>
      </w: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37EAC">
      <w:pPr>
        <w:spacing w:after="0"/>
      </w:pPr>
    </w:p>
    <w:p w:rsidR="00C37EAC" w:rsidRDefault="00C85CD3">
      <w:pPr>
        <w:spacing w:after="0"/>
      </w:pPr>
      <w:r>
        <w:t>Submitted:</w:t>
      </w:r>
      <w:r w:rsidR="0032253F">
        <w:t xml:space="preserve"> June 3, 2019</w:t>
      </w:r>
      <w:bookmarkStart w:id="4" w:name="_GoBack"/>
      <w:bookmarkEnd w:id="4"/>
    </w:p>
    <w:p w:rsidR="00C37EAC" w:rsidRDefault="00C85CD3">
      <w:pPr>
        <w:spacing w:after="0"/>
        <w:rPr>
          <w:rFonts w:ascii="Calibri" w:eastAsia="Calibri" w:hAnsi="Calibri" w:cs="Calibri"/>
          <w:color w:val="04326C"/>
          <w:sz w:val="24"/>
          <w:szCs w:val="24"/>
        </w:rPr>
      </w:pPr>
      <w:r>
        <w:rPr>
          <w:rFonts w:ascii="Calibri" w:eastAsia="Calibri" w:hAnsi="Calibri" w:cs="Calibri"/>
          <w:color w:val="04326C"/>
          <w:sz w:val="24"/>
          <w:szCs w:val="24"/>
        </w:rPr>
        <w:t>     </w:t>
      </w:r>
    </w:p>
    <w:p w:rsidR="00C37EAC" w:rsidRDefault="00C37EAC">
      <w:pPr>
        <w:spacing w:after="0"/>
      </w:pPr>
    </w:p>
    <w:p w:rsidR="00C37EAC" w:rsidRDefault="00C85CD3">
      <w:pPr>
        <w:spacing w:after="0"/>
        <w:rPr>
          <w:rFonts w:ascii="Calibri" w:eastAsia="Calibri" w:hAnsi="Calibri" w:cs="Calibri"/>
          <w:color w:val="0070C0"/>
          <w:sz w:val="24"/>
          <w:szCs w:val="24"/>
        </w:rPr>
      </w:pPr>
      <w:r>
        <w:br w:type="page"/>
      </w:r>
    </w:p>
    <w:p w:rsidR="00C37EAC" w:rsidRDefault="00C85CD3">
      <w:pPr>
        <w:keepNext/>
        <w:keepLines/>
        <w:pBdr>
          <w:top w:val="nil"/>
          <w:left w:val="nil"/>
          <w:bottom w:val="nil"/>
          <w:right w:val="nil"/>
          <w:between w:val="nil"/>
        </w:pBdr>
        <w:spacing w:before="480" w:after="0"/>
        <w:rPr>
          <w:color w:val="187196"/>
          <w:sz w:val="36"/>
          <w:szCs w:val="36"/>
        </w:rPr>
      </w:pPr>
      <w:r>
        <w:rPr>
          <w:color w:val="187196"/>
          <w:sz w:val="36"/>
          <w:szCs w:val="36"/>
        </w:rPr>
        <w:lastRenderedPageBreak/>
        <w:t>Table of Contents</w:t>
      </w:r>
    </w:p>
    <w:sdt>
      <w:sdtPr>
        <w:id w:val="511575130"/>
        <w:docPartObj>
          <w:docPartGallery w:val="Table of Contents"/>
          <w:docPartUnique/>
        </w:docPartObj>
      </w:sdtPr>
      <w:sdtEndPr/>
      <w:sdtContent>
        <w:p w:rsidR="00C37EAC" w:rsidRDefault="00C85CD3">
          <w:pPr>
            <w:pBdr>
              <w:top w:val="nil"/>
              <w:left w:val="nil"/>
              <w:bottom w:val="nil"/>
              <w:right w:val="nil"/>
              <w:between w:val="nil"/>
            </w:pBdr>
            <w:tabs>
              <w:tab w:val="right" w:pos="9350"/>
            </w:tabs>
            <w:spacing w:before="120" w:after="0"/>
            <w:rPr>
              <w:rFonts w:ascii="Calibri" w:eastAsia="Calibri" w:hAnsi="Calibri" w:cs="Calibri"/>
              <w:color w:val="000000"/>
              <w:sz w:val="24"/>
              <w:szCs w:val="24"/>
            </w:rPr>
          </w:pPr>
          <w:r>
            <w:fldChar w:fldCharType="begin"/>
          </w:r>
          <w:r>
            <w:instrText xml:space="preserve"> TOC \h \u \z </w:instrText>
          </w:r>
          <w:r>
            <w:fldChar w:fldCharType="separate"/>
          </w:r>
          <w:hyperlink w:anchor="_30j0zll">
            <w:r>
              <w:rPr>
                <w:rFonts w:ascii="Calibri" w:eastAsia="Calibri" w:hAnsi="Calibri" w:cs="Calibri"/>
                <w:b/>
                <w:sz w:val="24"/>
                <w:szCs w:val="24"/>
              </w:rPr>
              <w:t>Section 1: Consortium Information</w:t>
            </w:r>
            <w:r>
              <w:rPr>
                <w:rFonts w:ascii="Calibri" w:eastAsia="Calibri" w:hAnsi="Calibri" w:cs="Calibri"/>
                <w:b/>
                <w:sz w:val="24"/>
                <w:szCs w:val="24"/>
              </w:rPr>
              <w:tab/>
              <w:t>ii</w:t>
            </w:r>
          </w:hyperlink>
        </w:p>
        <w:p w:rsidR="00C37EAC" w:rsidRDefault="00627013">
          <w:pPr>
            <w:pBdr>
              <w:top w:val="nil"/>
              <w:left w:val="nil"/>
              <w:bottom w:val="nil"/>
              <w:right w:val="nil"/>
              <w:between w:val="nil"/>
            </w:pBdr>
            <w:tabs>
              <w:tab w:val="right" w:pos="9350"/>
            </w:tabs>
            <w:spacing w:before="120" w:after="0"/>
            <w:rPr>
              <w:rFonts w:ascii="Calibri" w:eastAsia="Calibri" w:hAnsi="Calibri" w:cs="Calibri"/>
              <w:color w:val="000000"/>
              <w:sz w:val="24"/>
              <w:szCs w:val="24"/>
            </w:rPr>
          </w:pPr>
          <w:hyperlink w:anchor="_2et92p0">
            <w:r w:rsidR="00C85CD3">
              <w:rPr>
                <w:rFonts w:ascii="Calibri" w:eastAsia="Calibri" w:hAnsi="Calibri" w:cs="Calibri"/>
                <w:b/>
                <w:sz w:val="24"/>
                <w:szCs w:val="24"/>
              </w:rPr>
              <w:t>Section 2: Comprehensive Regional Three-Year Plan</w:t>
            </w:r>
            <w:r w:rsidR="00C85CD3">
              <w:rPr>
                <w:rFonts w:ascii="Calibri" w:eastAsia="Calibri" w:hAnsi="Calibri" w:cs="Calibri"/>
                <w:b/>
                <w:sz w:val="24"/>
                <w:szCs w:val="24"/>
              </w:rPr>
              <w:tab/>
              <w:t>1</w:t>
            </w:r>
          </w:hyperlink>
        </w:p>
        <w:p w:rsidR="00C37EAC" w:rsidRDefault="00627013">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tyjcwt">
            <w:r w:rsidR="00C85CD3">
              <w:rPr>
                <w:rFonts w:ascii="Calibri" w:eastAsia="Calibri" w:hAnsi="Calibri" w:cs="Calibri"/>
                <w:b/>
              </w:rPr>
              <w:t>2.1 Executive Summary</w:t>
            </w:r>
            <w:r w:rsidR="00C85CD3">
              <w:rPr>
                <w:rFonts w:ascii="Calibri" w:eastAsia="Calibri" w:hAnsi="Calibri" w:cs="Calibri"/>
                <w:b/>
              </w:rPr>
              <w:tab/>
              <w:t>1</w:t>
            </w:r>
          </w:hyperlink>
        </w:p>
        <w:p w:rsidR="00C37EAC" w:rsidRDefault="00627013">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1t3h5sf">
            <w:r w:rsidR="00C85CD3">
              <w:rPr>
                <w:rFonts w:ascii="Calibri" w:eastAsia="Calibri" w:hAnsi="Calibri" w:cs="Calibri"/>
                <w:b/>
              </w:rPr>
              <w:t>2.2 Pre-Planning Assessment</w:t>
            </w:r>
            <w:r w:rsidR="00C85CD3">
              <w:rPr>
                <w:rFonts w:ascii="Calibri" w:eastAsia="Calibri" w:hAnsi="Calibri" w:cs="Calibri"/>
                <w:b/>
              </w:rPr>
              <w:tab/>
              <w:t>2</w:t>
            </w:r>
          </w:hyperlink>
        </w:p>
        <w:p w:rsidR="00C37EAC" w:rsidRDefault="00627013">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4d34og8">
            <w:r w:rsidR="00C85CD3">
              <w:rPr>
                <w:rFonts w:ascii="Calibri" w:eastAsia="Calibri" w:hAnsi="Calibri" w:cs="Calibri"/>
                <w:sz w:val="20"/>
                <w:szCs w:val="20"/>
              </w:rPr>
              <w:t>Table 1. Regional Service Providers</w:t>
            </w:r>
            <w:r w:rsidR="00C85CD3">
              <w:rPr>
                <w:rFonts w:ascii="Calibri" w:eastAsia="Calibri" w:hAnsi="Calibri" w:cs="Calibri"/>
                <w:sz w:val="20"/>
                <w:szCs w:val="20"/>
              </w:rPr>
              <w:tab/>
              <w:t>3</w:t>
            </w:r>
          </w:hyperlink>
        </w:p>
        <w:p w:rsidR="00C37EAC" w:rsidRDefault="00627013">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17dp8vu">
            <w:r w:rsidR="00C85CD3">
              <w:rPr>
                <w:rFonts w:ascii="Calibri" w:eastAsia="Calibri" w:hAnsi="Calibri" w:cs="Calibri"/>
                <w:sz w:val="20"/>
                <w:szCs w:val="20"/>
              </w:rPr>
              <w:t>Table 2. Funding for Adult Education Programs and Services</w:t>
            </w:r>
            <w:r w:rsidR="00C85CD3">
              <w:rPr>
                <w:rFonts w:ascii="Calibri" w:eastAsia="Calibri" w:hAnsi="Calibri" w:cs="Calibri"/>
                <w:sz w:val="20"/>
                <w:szCs w:val="20"/>
              </w:rPr>
              <w:tab/>
              <w:t>4</w:t>
            </w:r>
          </w:hyperlink>
        </w:p>
        <w:p w:rsidR="00C37EAC" w:rsidRDefault="00627013">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44sinio">
            <w:r w:rsidR="00C85CD3">
              <w:rPr>
                <w:rFonts w:ascii="Calibri" w:eastAsia="Calibri" w:hAnsi="Calibri" w:cs="Calibri"/>
                <w:b/>
              </w:rPr>
              <w:t>2.3 Community Need and Customers</w:t>
            </w:r>
            <w:r w:rsidR="00C85CD3">
              <w:rPr>
                <w:rFonts w:ascii="Calibri" w:eastAsia="Calibri" w:hAnsi="Calibri" w:cs="Calibri"/>
                <w:b/>
              </w:rPr>
              <w:tab/>
              <w:t>5</w:t>
            </w:r>
          </w:hyperlink>
        </w:p>
        <w:p w:rsidR="00C37EAC" w:rsidRDefault="00627013">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z337ya">
            <w:r w:rsidR="00C85CD3">
              <w:rPr>
                <w:rFonts w:ascii="Calibri" w:eastAsia="Calibri" w:hAnsi="Calibri" w:cs="Calibri"/>
                <w:b/>
              </w:rPr>
              <w:t>2.4 Identifying Goals and Strategies</w:t>
            </w:r>
            <w:r w:rsidR="00C85CD3">
              <w:rPr>
                <w:rFonts w:ascii="Calibri" w:eastAsia="Calibri" w:hAnsi="Calibri" w:cs="Calibri"/>
                <w:b/>
              </w:rPr>
              <w:tab/>
              <w:t>6</w:t>
            </w:r>
          </w:hyperlink>
        </w:p>
        <w:p w:rsidR="00C37EAC" w:rsidRDefault="00627013">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3j2qqm3">
            <w:r w:rsidR="00C85CD3">
              <w:rPr>
                <w:rFonts w:ascii="Calibri" w:eastAsia="Calibri" w:hAnsi="Calibri" w:cs="Calibri"/>
                <w:sz w:val="20"/>
                <w:szCs w:val="20"/>
              </w:rPr>
              <w:t>Figure 1. Logic Model</w:t>
            </w:r>
            <w:r w:rsidR="00C85CD3">
              <w:rPr>
                <w:rFonts w:ascii="Calibri" w:eastAsia="Calibri" w:hAnsi="Calibri" w:cs="Calibri"/>
                <w:sz w:val="20"/>
                <w:szCs w:val="20"/>
              </w:rPr>
              <w:tab/>
              <w:t>7</w:t>
            </w:r>
          </w:hyperlink>
        </w:p>
        <w:p w:rsidR="00C37EAC" w:rsidRDefault="00627013">
          <w:pPr>
            <w:pBdr>
              <w:top w:val="nil"/>
              <w:left w:val="nil"/>
              <w:bottom w:val="nil"/>
              <w:right w:val="nil"/>
              <w:between w:val="nil"/>
            </w:pBdr>
            <w:tabs>
              <w:tab w:val="right" w:pos="9350"/>
            </w:tabs>
            <w:spacing w:after="0"/>
            <w:ind w:left="440" w:hanging="440"/>
            <w:rPr>
              <w:rFonts w:ascii="Calibri" w:eastAsia="Calibri" w:hAnsi="Calibri" w:cs="Calibri"/>
              <w:color w:val="000000"/>
              <w:sz w:val="24"/>
              <w:szCs w:val="24"/>
            </w:rPr>
          </w:pPr>
          <w:hyperlink w:anchor="_4i7ojhp">
            <w:r w:rsidR="00C85CD3">
              <w:rPr>
                <w:rFonts w:ascii="Calibri" w:eastAsia="Calibri" w:hAnsi="Calibri" w:cs="Calibri"/>
                <w:sz w:val="20"/>
                <w:szCs w:val="20"/>
              </w:rPr>
              <w:t>Table 3. Progress Indicators</w:t>
            </w:r>
            <w:r w:rsidR="00C85CD3">
              <w:rPr>
                <w:rFonts w:ascii="Calibri" w:eastAsia="Calibri" w:hAnsi="Calibri" w:cs="Calibri"/>
                <w:sz w:val="20"/>
                <w:szCs w:val="20"/>
              </w:rPr>
              <w:tab/>
              <w:t>8</w:t>
            </w:r>
          </w:hyperlink>
        </w:p>
        <w:p w:rsidR="00C37EAC" w:rsidRDefault="00627013">
          <w:pPr>
            <w:pBdr>
              <w:top w:val="nil"/>
              <w:left w:val="nil"/>
              <w:bottom w:val="nil"/>
              <w:right w:val="nil"/>
              <w:between w:val="nil"/>
            </w:pBdr>
            <w:tabs>
              <w:tab w:val="right" w:pos="9350"/>
            </w:tabs>
            <w:spacing w:before="120" w:after="0"/>
            <w:ind w:left="220" w:hanging="220"/>
            <w:rPr>
              <w:rFonts w:ascii="Calibri" w:eastAsia="Calibri" w:hAnsi="Calibri" w:cs="Calibri"/>
              <w:color w:val="000000"/>
              <w:sz w:val="24"/>
              <w:szCs w:val="24"/>
            </w:rPr>
          </w:pPr>
          <w:hyperlink w:anchor="_1ci93xb">
            <w:r w:rsidR="00C85CD3">
              <w:rPr>
                <w:rFonts w:ascii="Calibri" w:eastAsia="Calibri" w:hAnsi="Calibri" w:cs="Calibri"/>
                <w:b/>
              </w:rPr>
              <w:t>2.5 Piloting and Implementation</w:t>
            </w:r>
            <w:r w:rsidR="00C85CD3">
              <w:rPr>
                <w:rFonts w:ascii="Calibri" w:eastAsia="Calibri" w:hAnsi="Calibri" w:cs="Calibri"/>
                <w:b/>
              </w:rPr>
              <w:tab/>
              <w:t>9</w:t>
            </w:r>
          </w:hyperlink>
        </w:p>
        <w:p w:rsidR="00C37EAC" w:rsidRDefault="00C85CD3">
          <w:r>
            <w:fldChar w:fldCharType="end"/>
          </w:r>
        </w:p>
      </w:sdtContent>
    </w:sdt>
    <w:p w:rsidR="00C37EAC" w:rsidRDefault="00C37EAC">
      <w:pPr>
        <w:pStyle w:val="Heading1"/>
      </w:pPr>
    </w:p>
    <w:p w:rsidR="00C37EAC" w:rsidRDefault="00C85CD3">
      <w:pPr>
        <w:widowControl w:val="0"/>
        <w:pBdr>
          <w:top w:val="nil"/>
          <w:left w:val="nil"/>
          <w:bottom w:val="nil"/>
          <w:right w:val="nil"/>
          <w:between w:val="nil"/>
        </w:pBdr>
        <w:spacing w:after="0"/>
        <w:sectPr w:rsidR="00C37EAC">
          <w:type w:val="continuous"/>
          <w:pgSz w:w="12240" w:h="15840"/>
          <w:pgMar w:top="1739" w:right="1440" w:bottom="1440" w:left="1440" w:header="720" w:footer="720" w:gutter="0"/>
          <w:cols w:space="720"/>
        </w:sectPr>
      </w:pPr>
      <w:r>
        <w:br w:type="page"/>
      </w:r>
    </w:p>
    <w:p w:rsidR="00C37EAC" w:rsidRDefault="00C85CD3">
      <w:pPr>
        <w:pStyle w:val="Heading1"/>
      </w:pPr>
      <w:bookmarkStart w:id="5" w:name="_2et92p0" w:colFirst="0" w:colLast="0"/>
      <w:bookmarkEnd w:id="5"/>
      <w:r>
        <w:lastRenderedPageBreak/>
        <w:t>Section 2: Comprehensive Regional Three-Year Plan</w:t>
      </w:r>
    </w:p>
    <w:p w:rsidR="00C37EAC" w:rsidRDefault="00C85CD3">
      <w:pPr>
        <w:pStyle w:val="Heading2"/>
      </w:pPr>
      <w:bookmarkStart w:id="6" w:name="_tyjcwt" w:colFirst="0" w:colLast="0"/>
      <w:bookmarkEnd w:id="6"/>
      <w:r>
        <w:t>2.1 Executive Summary</w:t>
      </w:r>
    </w:p>
    <w:p w:rsidR="00C0670F" w:rsidRDefault="00C0670F" w:rsidP="000A3F26">
      <w:pPr>
        <w:spacing w:after="0" w:line="240" w:lineRule="auto"/>
        <w:rPr>
          <w:rFonts w:asciiTheme="majorHAnsi" w:hAnsiTheme="majorHAnsi" w:cstheme="majorHAnsi"/>
        </w:rPr>
      </w:pPr>
      <w:bookmarkStart w:id="7" w:name="3dy6vkm" w:colFirst="0" w:colLast="0"/>
      <w:bookmarkEnd w:id="7"/>
      <w:r w:rsidRPr="00C0670F">
        <w:rPr>
          <w:rFonts w:asciiTheme="majorHAnsi" w:hAnsiTheme="majorHAnsi" w:cstheme="majorHAnsi"/>
        </w:rPr>
        <w:t>The South Orange County Regional Consortia</w:t>
      </w:r>
      <w:r w:rsidR="005B683A">
        <w:rPr>
          <w:rFonts w:asciiTheme="majorHAnsi" w:hAnsiTheme="majorHAnsi" w:cstheme="majorHAnsi"/>
        </w:rPr>
        <w:t xml:space="preserve"> (SOCRC)</w:t>
      </w:r>
      <w:r w:rsidRPr="00C0670F">
        <w:rPr>
          <w:rFonts w:asciiTheme="majorHAnsi" w:hAnsiTheme="majorHAnsi" w:cstheme="majorHAnsi"/>
        </w:rPr>
        <w:t xml:space="preserve"> </w:t>
      </w:r>
      <w:r>
        <w:rPr>
          <w:rFonts w:asciiTheme="majorHAnsi" w:hAnsiTheme="majorHAnsi" w:cstheme="majorHAnsi"/>
        </w:rPr>
        <w:t xml:space="preserve">engaged in a collaborative and highly engaging process to develop a comprehensive </w:t>
      </w:r>
      <w:r w:rsidR="000A3F26">
        <w:rPr>
          <w:rFonts w:asciiTheme="majorHAnsi" w:hAnsiTheme="majorHAnsi" w:cstheme="majorHAnsi"/>
        </w:rPr>
        <w:t>three-year</w:t>
      </w:r>
      <w:r>
        <w:rPr>
          <w:rFonts w:asciiTheme="majorHAnsi" w:hAnsiTheme="majorHAnsi" w:cstheme="majorHAnsi"/>
        </w:rPr>
        <w:t xml:space="preserve"> plan.  The </w:t>
      </w:r>
      <w:r w:rsidR="000A3F26">
        <w:rPr>
          <w:rFonts w:asciiTheme="majorHAnsi" w:hAnsiTheme="majorHAnsi" w:cstheme="majorHAnsi"/>
        </w:rPr>
        <w:t>three-year</w:t>
      </w:r>
      <w:r>
        <w:rPr>
          <w:rFonts w:asciiTheme="majorHAnsi" w:hAnsiTheme="majorHAnsi" w:cstheme="majorHAnsi"/>
        </w:rPr>
        <w:t xml:space="preserve"> plann</w:t>
      </w:r>
      <w:r w:rsidR="00ED3E85">
        <w:rPr>
          <w:rFonts w:asciiTheme="majorHAnsi" w:hAnsiTheme="majorHAnsi" w:cstheme="majorHAnsi"/>
        </w:rPr>
        <w:t>ing committee was comprised of</w:t>
      </w:r>
      <w:r>
        <w:rPr>
          <w:rFonts w:asciiTheme="majorHAnsi" w:hAnsiTheme="majorHAnsi" w:cstheme="majorHAnsi"/>
        </w:rPr>
        <w:t xml:space="preserve"> 10 people.  </w:t>
      </w:r>
      <w:proofErr w:type="gramStart"/>
      <w:r>
        <w:rPr>
          <w:rFonts w:asciiTheme="majorHAnsi" w:hAnsiTheme="majorHAnsi" w:cstheme="majorHAnsi"/>
        </w:rPr>
        <w:t xml:space="preserve">The planning committee was chaired by </w:t>
      </w:r>
      <w:r w:rsidR="000A3F26">
        <w:rPr>
          <w:rFonts w:asciiTheme="majorHAnsi" w:hAnsiTheme="majorHAnsi" w:cstheme="majorHAnsi"/>
        </w:rPr>
        <w:t xml:space="preserve">Dr. Rebecca Roberts, </w:t>
      </w:r>
      <w:r w:rsidRPr="00C0670F">
        <w:rPr>
          <w:rFonts w:asciiTheme="majorHAnsi" w:hAnsiTheme="majorHAnsi" w:cstheme="majorHAnsi"/>
        </w:rPr>
        <w:t>Irvine Unified School District, and members from Tustin Unified School District, Irvine Valley College, Saddleback College, College and Career Advantage, and a consultancy firm assisting the consortium</w:t>
      </w:r>
      <w:proofErr w:type="gramEnd"/>
      <w:r w:rsidRPr="00C0670F">
        <w:rPr>
          <w:rFonts w:asciiTheme="majorHAnsi" w:hAnsiTheme="majorHAnsi" w:cstheme="majorHAnsi"/>
        </w:rPr>
        <w:t xml:space="preserve">.  The team met for the first time in February 2019 and held successive meetings to work on and to complete the CAEP Three Year Plan.  The goal of this group was to design an ambitious but attainable </w:t>
      </w:r>
      <w:r w:rsidR="000A3F26" w:rsidRPr="00C0670F">
        <w:rPr>
          <w:rFonts w:asciiTheme="majorHAnsi" w:hAnsiTheme="majorHAnsi" w:cstheme="majorHAnsi"/>
        </w:rPr>
        <w:t>three-year</w:t>
      </w:r>
      <w:r w:rsidRPr="00C0670F">
        <w:rPr>
          <w:rFonts w:asciiTheme="majorHAnsi" w:hAnsiTheme="majorHAnsi" w:cstheme="majorHAnsi"/>
        </w:rPr>
        <w:t xml:space="preserve"> plan for the South Orange County Re</w:t>
      </w:r>
      <w:r>
        <w:rPr>
          <w:rFonts w:asciiTheme="majorHAnsi" w:hAnsiTheme="majorHAnsi" w:cstheme="majorHAnsi"/>
        </w:rPr>
        <w:t xml:space="preserve">gional Consortium.  Drafts of the </w:t>
      </w:r>
      <w:r w:rsidR="000A3F26">
        <w:rPr>
          <w:rFonts w:asciiTheme="majorHAnsi" w:hAnsiTheme="majorHAnsi" w:cstheme="majorHAnsi"/>
        </w:rPr>
        <w:t>three-year</w:t>
      </w:r>
      <w:r>
        <w:rPr>
          <w:rFonts w:asciiTheme="majorHAnsi" w:hAnsiTheme="majorHAnsi" w:cstheme="majorHAnsi"/>
        </w:rPr>
        <w:t xml:space="preserve"> plan </w:t>
      </w:r>
      <w:proofErr w:type="gramStart"/>
      <w:r>
        <w:rPr>
          <w:rFonts w:asciiTheme="majorHAnsi" w:hAnsiTheme="majorHAnsi" w:cstheme="majorHAnsi"/>
        </w:rPr>
        <w:t>were brought</w:t>
      </w:r>
      <w:proofErr w:type="gramEnd"/>
      <w:r>
        <w:rPr>
          <w:rFonts w:asciiTheme="majorHAnsi" w:hAnsiTheme="majorHAnsi" w:cstheme="majorHAnsi"/>
        </w:rPr>
        <w:t xml:space="preserve"> fo</w:t>
      </w:r>
      <w:r w:rsidR="005B683A">
        <w:rPr>
          <w:rFonts w:asciiTheme="majorHAnsi" w:hAnsiTheme="majorHAnsi" w:cstheme="majorHAnsi"/>
        </w:rPr>
        <w:t xml:space="preserve">rth to SOCRC consortium </w:t>
      </w:r>
      <w:r>
        <w:rPr>
          <w:rFonts w:asciiTheme="majorHAnsi" w:hAnsiTheme="majorHAnsi" w:cstheme="majorHAnsi"/>
        </w:rPr>
        <w:t xml:space="preserve">at the March, April and May meetings for feedback and input.  </w:t>
      </w:r>
    </w:p>
    <w:p w:rsidR="001D529A" w:rsidRPr="00C0670F" w:rsidRDefault="001D529A" w:rsidP="000A3F26">
      <w:pPr>
        <w:spacing w:after="0" w:line="240" w:lineRule="auto"/>
        <w:rPr>
          <w:rFonts w:asciiTheme="majorHAnsi" w:eastAsia="Calibri" w:hAnsiTheme="majorHAnsi" w:cstheme="majorHAnsi"/>
          <w:color w:val="04326C"/>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The Planning Committee began its work defining the roles and responsibilities of its members.  Future meetings </w:t>
      </w:r>
      <w:proofErr w:type="gramStart"/>
      <w:r w:rsidRPr="00C0670F">
        <w:rPr>
          <w:rFonts w:asciiTheme="majorHAnsi" w:hAnsiTheme="majorHAnsi" w:cstheme="majorHAnsi"/>
        </w:rPr>
        <w:t>were then scheduled</w:t>
      </w:r>
      <w:proofErr w:type="gramEnd"/>
      <w:r w:rsidRPr="00C0670F">
        <w:rPr>
          <w:rFonts w:asciiTheme="majorHAnsi" w:hAnsiTheme="majorHAnsi" w:cstheme="majorHAnsi"/>
        </w:rPr>
        <w:t xml:space="preserve"> for the months of Ma</w:t>
      </w:r>
      <w:r>
        <w:rPr>
          <w:rFonts w:asciiTheme="majorHAnsi" w:hAnsiTheme="majorHAnsi" w:cstheme="majorHAnsi"/>
        </w:rPr>
        <w:t>rch, April and May 2019</w:t>
      </w:r>
      <w:r w:rsidRPr="00C0670F">
        <w:rPr>
          <w:rFonts w:asciiTheme="majorHAnsi" w:hAnsiTheme="majorHAnsi" w:cstheme="majorHAnsi"/>
        </w:rPr>
        <w:t>.  A timelin</w:t>
      </w:r>
      <w:r>
        <w:rPr>
          <w:rFonts w:asciiTheme="majorHAnsi" w:hAnsiTheme="majorHAnsi" w:cstheme="majorHAnsi"/>
        </w:rPr>
        <w:t xml:space="preserve">e and tasking overview </w:t>
      </w:r>
      <w:proofErr w:type="gramStart"/>
      <w:r>
        <w:rPr>
          <w:rFonts w:asciiTheme="majorHAnsi" w:hAnsiTheme="majorHAnsi" w:cstheme="majorHAnsi"/>
        </w:rPr>
        <w:t>was</w:t>
      </w:r>
      <w:r w:rsidR="005B683A">
        <w:rPr>
          <w:rFonts w:asciiTheme="majorHAnsi" w:hAnsiTheme="majorHAnsi" w:cstheme="majorHAnsi"/>
        </w:rPr>
        <w:t xml:space="preserve"> created</w:t>
      </w:r>
      <w:proofErr w:type="gramEnd"/>
      <w:r w:rsidR="005B683A">
        <w:rPr>
          <w:rFonts w:asciiTheme="majorHAnsi" w:hAnsiTheme="majorHAnsi" w:cstheme="majorHAnsi"/>
        </w:rPr>
        <w:t xml:space="preserve">.  Teams </w:t>
      </w:r>
      <w:r w:rsidRPr="00C0670F">
        <w:rPr>
          <w:rFonts w:asciiTheme="majorHAnsi" w:hAnsiTheme="majorHAnsi" w:cstheme="majorHAnsi"/>
        </w:rPr>
        <w:t xml:space="preserve">of 2-3 committee members </w:t>
      </w:r>
      <w:proofErr w:type="gramStart"/>
      <w:r w:rsidR="005B683A">
        <w:rPr>
          <w:rFonts w:asciiTheme="majorHAnsi" w:hAnsiTheme="majorHAnsi" w:cstheme="majorHAnsi"/>
        </w:rPr>
        <w:t>was also created</w:t>
      </w:r>
      <w:proofErr w:type="gramEnd"/>
      <w:r w:rsidR="005B683A">
        <w:rPr>
          <w:rFonts w:asciiTheme="majorHAnsi" w:hAnsiTheme="majorHAnsi" w:cstheme="majorHAnsi"/>
        </w:rPr>
        <w:t xml:space="preserve"> to lead the development of </w:t>
      </w:r>
      <w:r w:rsidRPr="00C0670F">
        <w:rPr>
          <w:rFonts w:asciiTheme="majorHAnsi" w:hAnsiTheme="majorHAnsi" w:cstheme="majorHAnsi"/>
        </w:rPr>
        <w:t>separate portions of the plan.</w:t>
      </w:r>
    </w:p>
    <w:p w:rsidR="001D529A" w:rsidRPr="00C0670F" w:rsidRDefault="001D529A" w:rsidP="000A3F26">
      <w:pPr>
        <w:spacing w:after="0" w:line="240" w:lineRule="auto"/>
        <w:rPr>
          <w:rFonts w:asciiTheme="majorHAnsi" w:hAnsiTheme="majorHAnsi" w:cstheme="majorHAnsi"/>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Team 1 focused on providing Consortium demographics.  To do this, the pre-planning assessment tool provided in the Three Year Planning Toolkit and materials </w:t>
      </w:r>
      <w:proofErr w:type="gramStart"/>
      <w:r w:rsidRPr="00C0670F">
        <w:rPr>
          <w:rFonts w:asciiTheme="majorHAnsi" w:hAnsiTheme="majorHAnsi" w:cstheme="majorHAnsi"/>
        </w:rPr>
        <w:t>was utilized</w:t>
      </w:r>
      <w:proofErr w:type="gramEnd"/>
      <w:r w:rsidRPr="00C0670F">
        <w:rPr>
          <w:rFonts w:asciiTheme="majorHAnsi" w:hAnsiTheme="majorHAnsi" w:cstheme="majorHAnsi"/>
        </w:rPr>
        <w:t xml:space="preserve">.  Regional Service Providers </w:t>
      </w:r>
      <w:proofErr w:type="gramStart"/>
      <w:r w:rsidRPr="00C0670F">
        <w:rPr>
          <w:rFonts w:asciiTheme="majorHAnsi" w:hAnsiTheme="majorHAnsi" w:cstheme="majorHAnsi"/>
        </w:rPr>
        <w:t>were identified</w:t>
      </w:r>
      <w:proofErr w:type="gramEnd"/>
      <w:r w:rsidRPr="00C0670F">
        <w:rPr>
          <w:rFonts w:asciiTheme="majorHAnsi" w:hAnsiTheme="majorHAnsi" w:cstheme="majorHAnsi"/>
        </w:rPr>
        <w:t xml:space="preserve"> as a part of this process.  Funding as it pertained to Adult Education Programs and Serv</w:t>
      </w:r>
      <w:r w:rsidR="005B683A">
        <w:rPr>
          <w:rFonts w:asciiTheme="majorHAnsi" w:hAnsiTheme="majorHAnsi" w:cstheme="majorHAnsi"/>
        </w:rPr>
        <w:t xml:space="preserve">ices across the region </w:t>
      </w:r>
      <w:proofErr w:type="gramStart"/>
      <w:r w:rsidR="005B683A">
        <w:rPr>
          <w:rFonts w:asciiTheme="majorHAnsi" w:hAnsiTheme="majorHAnsi" w:cstheme="majorHAnsi"/>
        </w:rPr>
        <w:t xml:space="preserve">was </w:t>
      </w:r>
      <w:r w:rsidRPr="00C0670F">
        <w:rPr>
          <w:rFonts w:asciiTheme="majorHAnsi" w:hAnsiTheme="majorHAnsi" w:cstheme="majorHAnsi"/>
        </w:rPr>
        <w:t>identified and included in the Three Year Plan</w:t>
      </w:r>
      <w:proofErr w:type="gramEnd"/>
      <w:r w:rsidRPr="00C0670F">
        <w:rPr>
          <w:rFonts w:asciiTheme="majorHAnsi" w:hAnsiTheme="majorHAnsi" w:cstheme="majorHAnsi"/>
        </w:rPr>
        <w:t xml:space="preserve">.  </w:t>
      </w:r>
    </w:p>
    <w:p w:rsidR="001D529A" w:rsidRPr="00C0670F" w:rsidRDefault="001D529A" w:rsidP="000A3F26">
      <w:pPr>
        <w:spacing w:after="0" w:line="240" w:lineRule="auto"/>
        <w:rPr>
          <w:rFonts w:asciiTheme="majorHAnsi" w:hAnsiTheme="majorHAnsi" w:cstheme="majorHAnsi"/>
        </w:rPr>
      </w:pPr>
    </w:p>
    <w:p w:rsidR="00C0670F" w:rsidRDefault="005B683A" w:rsidP="000A3F26">
      <w:pPr>
        <w:spacing w:after="0" w:line="240" w:lineRule="auto"/>
        <w:rPr>
          <w:rFonts w:asciiTheme="majorHAnsi" w:hAnsiTheme="majorHAnsi" w:cstheme="majorHAnsi"/>
        </w:rPr>
      </w:pPr>
      <w:r>
        <w:rPr>
          <w:rFonts w:asciiTheme="majorHAnsi" w:hAnsiTheme="majorHAnsi" w:cstheme="majorHAnsi"/>
        </w:rPr>
        <w:t>Team 2 focused on a</w:t>
      </w:r>
      <w:r w:rsidR="00C0670F" w:rsidRPr="00C0670F">
        <w:rPr>
          <w:rFonts w:asciiTheme="majorHAnsi" w:hAnsiTheme="majorHAnsi" w:cstheme="majorHAnsi"/>
        </w:rPr>
        <w:t xml:space="preserve"> </w:t>
      </w:r>
      <w:r>
        <w:rPr>
          <w:rFonts w:asciiTheme="majorHAnsi" w:hAnsiTheme="majorHAnsi" w:cstheme="majorHAnsi"/>
        </w:rPr>
        <w:t>matrix of information identifying</w:t>
      </w:r>
      <w:r w:rsidR="00C0670F" w:rsidRPr="00C0670F">
        <w:rPr>
          <w:rFonts w:asciiTheme="majorHAnsi" w:hAnsiTheme="majorHAnsi" w:cstheme="majorHAnsi"/>
        </w:rPr>
        <w:t xml:space="preserve"> community need and customers in the region.   </w:t>
      </w:r>
      <w:r w:rsidR="00C0670F">
        <w:rPr>
          <w:rFonts w:asciiTheme="majorHAnsi" w:hAnsiTheme="majorHAnsi" w:cstheme="majorHAnsi"/>
        </w:rPr>
        <w:t xml:space="preserve">Team 2 also researched and collected information on demographics and needs of adult learners in Orange County.  </w:t>
      </w:r>
      <w:r w:rsidR="00A82F4C">
        <w:rPr>
          <w:rFonts w:asciiTheme="majorHAnsi" w:hAnsiTheme="majorHAnsi" w:cstheme="majorHAnsi"/>
        </w:rPr>
        <w:t>Using data collected, Team 2 also drafted goals and strategies.</w:t>
      </w:r>
    </w:p>
    <w:p w:rsidR="001D529A" w:rsidRPr="00C0670F" w:rsidRDefault="001D529A" w:rsidP="000A3F26">
      <w:pPr>
        <w:spacing w:after="0" w:line="240" w:lineRule="auto"/>
        <w:rPr>
          <w:rFonts w:asciiTheme="majorHAnsi" w:hAnsiTheme="majorHAnsi" w:cstheme="majorHAnsi"/>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Team 3 focused on the creation of the SMART goals based on the information </w:t>
      </w:r>
      <w:r>
        <w:rPr>
          <w:rFonts w:asciiTheme="majorHAnsi" w:hAnsiTheme="majorHAnsi" w:cstheme="majorHAnsi"/>
        </w:rPr>
        <w:t>pr</w:t>
      </w:r>
      <w:r w:rsidR="00A82F4C">
        <w:rPr>
          <w:rFonts w:asciiTheme="majorHAnsi" w:hAnsiTheme="majorHAnsi" w:cstheme="majorHAnsi"/>
        </w:rPr>
        <w:t>ovided by Teams 1 and 2.  Team 3</w:t>
      </w:r>
      <w:r>
        <w:rPr>
          <w:rFonts w:asciiTheme="majorHAnsi" w:hAnsiTheme="majorHAnsi" w:cstheme="majorHAnsi"/>
        </w:rPr>
        <w:t xml:space="preserve"> created an action plan for each SMART goals including a timeline as well as action steps for achieving each goal</w:t>
      </w:r>
      <w:r w:rsidRPr="00C0670F">
        <w:rPr>
          <w:rFonts w:asciiTheme="majorHAnsi" w:hAnsiTheme="majorHAnsi" w:cstheme="majorHAnsi"/>
        </w:rPr>
        <w:t xml:space="preserve">. In order to implement this plan, the SMART goals </w:t>
      </w:r>
      <w:proofErr w:type="gramStart"/>
      <w:r w:rsidRPr="00C0670F">
        <w:rPr>
          <w:rFonts w:asciiTheme="majorHAnsi" w:hAnsiTheme="majorHAnsi" w:cstheme="majorHAnsi"/>
        </w:rPr>
        <w:t>will be revisited and assessed at the monthly regional consortium meetings to determine our progress</w:t>
      </w:r>
      <w:proofErr w:type="gramEnd"/>
      <w:r w:rsidRPr="00C0670F">
        <w:rPr>
          <w:rFonts w:asciiTheme="majorHAnsi" w:hAnsiTheme="majorHAnsi" w:cstheme="majorHAnsi"/>
        </w:rPr>
        <w:t xml:space="preserve">. </w:t>
      </w:r>
    </w:p>
    <w:p w:rsidR="001D529A" w:rsidRPr="00C0670F" w:rsidRDefault="001D529A" w:rsidP="000A3F26">
      <w:pPr>
        <w:spacing w:after="0" w:line="240" w:lineRule="auto"/>
        <w:rPr>
          <w:rFonts w:asciiTheme="majorHAnsi" w:hAnsiTheme="majorHAnsi" w:cstheme="majorHAnsi"/>
        </w:rPr>
      </w:pPr>
    </w:p>
    <w:p w:rsid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The entire group then reconvened to review the final document, making key edits and integrating them into a final Logic Model, as recommended by CAEP Program guidance.   </w:t>
      </w:r>
    </w:p>
    <w:p w:rsidR="001D529A" w:rsidRPr="00C0670F" w:rsidRDefault="001D529A" w:rsidP="000A3F26">
      <w:pPr>
        <w:spacing w:after="0" w:line="240" w:lineRule="auto"/>
        <w:rPr>
          <w:rFonts w:asciiTheme="majorHAnsi" w:hAnsiTheme="majorHAnsi" w:cstheme="majorHAnsi"/>
        </w:rPr>
      </w:pPr>
    </w:p>
    <w:p w:rsidR="00C37EAC" w:rsidRPr="00C0670F" w:rsidRDefault="00C0670F" w:rsidP="000A3F26">
      <w:pPr>
        <w:spacing w:after="0" w:line="240" w:lineRule="auto"/>
        <w:rPr>
          <w:rFonts w:asciiTheme="majorHAnsi" w:hAnsiTheme="majorHAnsi" w:cstheme="majorHAnsi"/>
        </w:rPr>
      </w:pPr>
      <w:r w:rsidRPr="00C0670F">
        <w:rPr>
          <w:rFonts w:asciiTheme="majorHAnsi" w:hAnsiTheme="majorHAnsi" w:cstheme="majorHAnsi"/>
        </w:rPr>
        <w:t xml:space="preserve">On May 20, 2019, the final draft of the Three Year Plan </w:t>
      </w:r>
      <w:proofErr w:type="gramStart"/>
      <w:r w:rsidRPr="00C0670F">
        <w:rPr>
          <w:rFonts w:asciiTheme="majorHAnsi" w:hAnsiTheme="majorHAnsi" w:cstheme="majorHAnsi"/>
        </w:rPr>
        <w:t>was presented</w:t>
      </w:r>
      <w:proofErr w:type="gramEnd"/>
      <w:r w:rsidRPr="00C0670F">
        <w:rPr>
          <w:rFonts w:asciiTheme="majorHAnsi" w:hAnsiTheme="majorHAnsi" w:cstheme="majorHAnsi"/>
        </w:rPr>
        <w:t xml:space="preserve"> to the entire membership of the South Orange County Regional Consortium for review and approval.  The plan was</w:t>
      </w:r>
      <w:r w:rsidR="00A82F4C">
        <w:rPr>
          <w:rFonts w:asciiTheme="majorHAnsi" w:hAnsiTheme="majorHAnsi" w:cstheme="majorHAnsi"/>
        </w:rPr>
        <w:t xml:space="preserve"> then agreed to by a majority vote</w:t>
      </w:r>
      <w:r w:rsidRPr="00C0670F">
        <w:rPr>
          <w:rFonts w:asciiTheme="majorHAnsi" w:hAnsiTheme="majorHAnsi" w:cstheme="majorHAnsi"/>
        </w:rPr>
        <w:t xml:space="preserve"> and approved.  It </w:t>
      </w:r>
      <w:proofErr w:type="gramStart"/>
      <w:r w:rsidRPr="00C0670F">
        <w:rPr>
          <w:rFonts w:asciiTheme="majorHAnsi" w:hAnsiTheme="majorHAnsi" w:cstheme="majorHAnsi"/>
        </w:rPr>
        <w:t>was then uploaded onto NOVA and filed with the California Adult Education Program</w:t>
      </w:r>
      <w:proofErr w:type="gramEnd"/>
      <w:r w:rsidRPr="00C0670F">
        <w:rPr>
          <w:rFonts w:asciiTheme="majorHAnsi" w:hAnsiTheme="majorHAnsi" w:cstheme="majorHAnsi"/>
        </w:rPr>
        <w:t xml:space="preserve">. </w:t>
      </w:r>
    </w:p>
    <w:p w:rsidR="00C37EAC" w:rsidRDefault="00C85CD3" w:rsidP="000A3F26">
      <w:pPr>
        <w:pStyle w:val="Heading2"/>
        <w:spacing w:before="0" w:after="0"/>
      </w:pPr>
      <w:bookmarkStart w:id="8" w:name="_1t3h5sf" w:colFirst="0" w:colLast="0"/>
      <w:bookmarkEnd w:id="8"/>
      <w:r>
        <w:br w:type="page"/>
      </w:r>
      <w:r>
        <w:lastRenderedPageBreak/>
        <w:t>2.2 Pre-Planning Assessment</w:t>
      </w:r>
    </w:p>
    <w:p w:rsidR="005E61E9" w:rsidRPr="00BE36F8" w:rsidRDefault="005E61E9" w:rsidP="005E61E9">
      <w:pPr>
        <w:rPr>
          <w:rFonts w:asciiTheme="majorHAnsi" w:eastAsia="Calibri" w:hAnsiTheme="majorHAnsi" w:cstheme="majorHAnsi"/>
          <w:color w:val="04326C"/>
          <w:szCs w:val="20"/>
        </w:rPr>
      </w:pPr>
      <w:proofErr w:type="gramStart"/>
      <w:r w:rsidRPr="00BE36F8">
        <w:rPr>
          <w:rFonts w:asciiTheme="majorHAnsi" w:hAnsiTheme="majorHAnsi" w:cstheme="majorHAnsi"/>
          <w:szCs w:val="20"/>
        </w:rPr>
        <w:t>To support the California Adult Education Program 3-year planning process, the Consortium Program Quality Self – Assessment</w:t>
      </w:r>
      <w:r w:rsidR="00BE36F8">
        <w:rPr>
          <w:rFonts w:asciiTheme="majorHAnsi" w:hAnsiTheme="majorHAnsi" w:cstheme="majorHAnsi"/>
          <w:szCs w:val="20"/>
        </w:rPr>
        <w:t xml:space="preserve"> tool was emailed to all ten (10</w:t>
      </w:r>
      <w:r w:rsidRPr="00BE36F8">
        <w:rPr>
          <w:rFonts w:asciiTheme="majorHAnsi" w:hAnsiTheme="majorHAnsi" w:cstheme="majorHAnsi"/>
          <w:szCs w:val="20"/>
        </w:rPr>
        <w:t>) voting members of the South Orange County Regional Consortium (SOCRC) representing the following agencies:  Irvine Unified School District; Capistrano Unified School District; Tustin Unified School District; Laguna Beach Unified School District; Saddleback Valley Unified School District; Coastline College; Saddleback</w:t>
      </w:r>
      <w:r w:rsidR="00BE36F8">
        <w:rPr>
          <w:rFonts w:asciiTheme="majorHAnsi" w:hAnsiTheme="majorHAnsi" w:cstheme="majorHAnsi"/>
          <w:szCs w:val="20"/>
        </w:rPr>
        <w:t>; College and Career Advantage;</w:t>
      </w:r>
      <w:r w:rsidRPr="00BE36F8">
        <w:rPr>
          <w:rFonts w:asciiTheme="majorHAnsi" w:hAnsiTheme="majorHAnsi" w:cstheme="majorHAnsi"/>
          <w:szCs w:val="20"/>
        </w:rPr>
        <w:t xml:space="preserve"> and Irvine Valley College.</w:t>
      </w:r>
      <w:proofErr w:type="gramEnd"/>
      <w:r w:rsidRPr="00BE36F8">
        <w:rPr>
          <w:rFonts w:asciiTheme="majorHAnsi" w:hAnsiTheme="majorHAnsi" w:cstheme="majorHAnsi"/>
          <w:szCs w:val="20"/>
        </w:rPr>
        <w:t xml:space="preserve"> Members were asked to rate a series of prompts using a </w:t>
      </w:r>
      <w:proofErr w:type="gramStart"/>
      <w:r w:rsidRPr="00BE36F8">
        <w:rPr>
          <w:rFonts w:asciiTheme="majorHAnsi" w:hAnsiTheme="majorHAnsi" w:cstheme="majorHAnsi"/>
          <w:szCs w:val="20"/>
        </w:rPr>
        <w:t>5</w:t>
      </w:r>
      <w:proofErr w:type="gramEnd"/>
      <w:r w:rsidRPr="00BE36F8">
        <w:rPr>
          <w:rFonts w:asciiTheme="majorHAnsi" w:hAnsiTheme="majorHAnsi" w:cstheme="majorHAnsi"/>
          <w:szCs w:val="20"/>
        </w:rPr>
        <w:t xml:space="preserve"> – point Likert scale, with 5 being high on effectiveness. Each agency provided feedback related to the quality of collaboration among the SOCRC cons</w:t>
      </w:r>
      <w:r w:rsidR="005B683A">
        <w:rPr>
          <w:rFonts w:asciiTheme="majorHAnsi" w:hAnsiTheme="majorHAnsi" w:cstheme="majorHAnsi"/>
          <w:szCs w:val="20"/>
        </w:rPr>
        <w:t xml:space="preserve">ortium members, and </w:t>
      </w:r>
      <w:r w:rsidRPr="00BE36F8">
        <w:rPr>
          <w:rFonts w:asciiTheme="majorHAnsi" w:hAnsiTheme="majorHAnsi" w:cstheme="majorHAnsi"/>
          <w:szCs w:val="20"/>
        </w:rPr>
        <w:t xml:space="preserve">the impact of the collective work in the surrounding communities. Survey responses were analyzed side-by-side and average scores </w:t>
      </w:r>
      <w:proofErr w:type="gramStart"/>
      <w:r w:rsidRPr="00BE36F8">
        <w:rPr>
          <w:rFonts w:asciiTheme="majorHAnsi" w:hAnsiTheme="majorHAnsi" w:cstheme="majorHAnsi"/>
          <w:szCs w:val="20"/>
        </w:rPr>
        <w:t>were calculated</w:t>
      </w:r>
      <w:proofErr w:type="gramEnd"/>
      <w:r w:rsidRPr="00BE36F8">
        <w:rPr>
          <w:rFonts w:asciiTheme="majorHAnsi" w:hAnsiTheme="majorHAnsi" w:cstheme="majorHAnsi"/>
          <w:szCs w:val="20"/>
        </w:rPr>
        <w:t xml:space="preserve"> to provide insight on SOCRC’s effectiveness in the following key areas:</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Capacity</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Connection</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Entry</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Progress</w:t>
      </w:r>
    </w:p>
    <w:p w:rsidR="005E61E9" w:rsidRPr="00BE36F8" w:rsidRDefault="005E61E9" w:rsidP="005E61E9">
      <w:pPr>
        <w:pStyle w:val="ListParagraph"/>
        <w:numPr>
          <w:ilvl w:val="0"/>
          <w:numId w:val="11"/>
        </w:numPr>
        <w:spacing w:after="160"/>
        <w:rPr>
          <w:rFonts w:asciiTheme="majorHAnsi" w:hAnsiTheme="majorHAnsi" w:cstheme="majorHAnsi"/>
          <w:sz w:val="22"/>
          <w:szCs w:val="20"/>
        </w:rPr>
      </w:pPr>
      <w:r w:rsidRPr="00BE36F8">
        <w:rPr>
          <w:rFonts w:asciiTheme="majorHAnsi" w:hAnsiTheme="majorHAnsi" w:cstheme="majorHAnsi"/>
          <w:sz w:val="22"/>
          <w:szCs w:val="20"/>
        </w:rPr>
        <w:t>Completion/Transition</w:t>
      </w:r>
    </w:p>
    <w:p w:rsidR="005E61E9" w:rsidRPr="00BE36F8" w:rsidRDefault="005E61E9" w:rsidP="005E61E9">
      <w:pPr>
        <w:spacing w:line="240" w:lineRule="auto"/>
        <w:rPr>
          <w:rFonts w:asciiTheme="majorHAnsi" w:hAnsiTheme="majorHAnsi" w:cstheme="majorHAnsi"/>
          <w:szCs w:val="20"/>
        </w:rPr>
      </w:pPr>
      <w:r w:rsidRPr="00BE36F8">
        <w:rPr>
          <w:rFonts w:asciiTheme="majorHAnsi" w:hAnsiTheme="majorHAnsi" w:cstheme="majorHAnsi"/>
          <w:szCs w:val="20"/>
        </w:rPr>
        <w:t xml:space="preserve">The narrative below provides a summary of agency responses, which sheds light on consortia strengths and weaknesses. This information </w:t>
      </w:r>
      <w:proofErr w:type="gramStart"/>
      <w:r w:rsidRPr="00BE36F8">
        <w:rPr>
          <w:rFonts w:asciiTheme="majorHAnsi" w:hAnsiTheme="majorHAnsi" w:cstheme="majorHAnsi"/>
          <w:szCs w:val="20"/>
        </w:rPr>
        <w:t>will be used</w:t>
      </w:r>
      <w:proofErr w:type="gramEnd"/>
      <w:r w:rsidRPr="00BE36F8">
        <w:rPr>
          <w:rFonts w:asciiTheme="majorHAnsi" w:hAnsiTheme="majorHAnsi" w:cstheme="majorHAnsi"/>
          <w:szCs w:val="20"/>
        </w:rPr>
        <w:t xml:space="preserve"> to develop strategies to enhance policies, procedures and practices. </w:t>
      </w: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 xml:space="preserve">Quality Indicator #1: Capacity </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and individual members’ ability to support each other and build capacity to deliver high quality adult education to meet community needs.</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after="0" w:line="240" w:lineRule="auto"/>
        <w:rPr>
          <w:rFonts w:asciiTheme="majorHAnsi" w:hAnsiTheme="majorHAnsi" w:cstheme="majorHAnsi"/>
          <w:szCs w:val="20"/>
        </w:rPr>
      </w:pPr>
      <w:r w:rsidRPr="00BE36F8">
        <w:rPr>
          <w:rFonts w:asciiTheme="majorHAnsi" w:hAnsiTheme="majorHAnsi" w:cstheme="majorHAnsi"/>
          <w:szCs w:val="20"/>
        </w:rPr>
        <w:t xml:space="preserve">The SOCRC responses yielded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3s and 4s in this section, indicating targeted support is needed in </w:t>
      </w:r>
      <w:r w:rsidRPr="00BE36F8">
        <w:rPr>
          <w:rFonts w:asciiTheme="majorHAnsi" w:hAnsiTheme="majorHAnsi" w:cstheme="majorHAnsi"/>
          <w:i/>
          <w:szCs w:val="20"/>
        </w:rPr>
        <w:t>some</w:t>
      </w:r>
      <w:r w:rsidRPr="00BE36F8">
        <w:rPr>
          <w:rFonts w:asciiTheme="majorHAnsi" w:hAnsiTheme="majorHAnsi" w:cstheme="majorHAnsi"/>
          <w:szCs w:val="20"/>
        </w:rPr>
        <w:t xml:space="preserve"> areas, while other areas only require a </w:t>
      </w:r>
      <w:r w:rsidRPr="00BE36F8">
        <w:rPr>
          <w:rFonts w:asciiTheme="majorHAnsi" w:hAnsiTheme="majorHAnsi" w:cstheme="majorHAnsi"/>
          <w:i/>
          <w:szCs w:val="20"/>
        </w:rPr>
        <w:t>few</w:t>
      </w:r>
      <w:r w:rsidRPr="00BE36F8">
        <w:rPr>
          <w:rFonts w:asciiTheme="majorHAnsi" w:hAnsiTheme="majorHAnsi" w:cstheme="majorHAnsi"/>
          <w:szCs w:val="20"/>
        </w:rPr>
        <w:t xml:space="preserve"> improvements in order to be exceptional. The reported area of weakness (average score of 2) was in professional development for faculty and staff, and the need to get some agencies to fully participate in the consortium activities. The areas indicating additional support needed (average score of 3) include</w:t>
      </w:r>
      <w:r w:rsidR="005B683A">
        <w:rPr>
          <w:rFonts w:asciiTheme="majorHAnsi" w:hAnsiTheme="majorHAnsi" w:cstheme="majorHAnsi"/>
          <w:szCs w:val="20"/>
        </w:rPr>
        <w:t>:</w:t>
      </w:r>
      <w:r w:rsidRPr="00BE36F8">
        <w:rPr>
          <w:rFonts w:asciiTheme="majorHAnsi" w:hAnsiTheme="majorHAnsi" w:cstheme="majorHAnsi"/>
          <w:szCs w:val="20"/>
        </w:rPr>
        <w:t xml:space="preserve"> documenting processes and procedures for facilitating consortium collaboration and coordination, </w:t>
      </w:r>
      <w:r w:rsidR="005B683A">
        <w:rPr>
          <w:rFonts w:asciiTheme="majorHAnsi" w:hAnsiTheme="majorHAnsi" w:cstheme="majorHAnsi"/>
          <w:szCs w:val="20"/>
        </w:rPr>
        <w:t>revising</w:t>
      </w:r>
      <w:r w:rsidR="00BE36F8">
        <w:rPr>
          <w:rFonts w:asciiTheme="majorHAnsi" w:hAnsiTheme="majorHAnsi" w:cstheme="majorHAnsi"/>
          <w:szCs w:val="20"/>
        </w:rPr>
        <w:t xml:space="preserve"> governance to create bylaws, </w:t>
      </w:r>
      <w:r w:rsidRPr="00BE36F8">
        <w:rPr>
          <w:rFonts w:asciiTheme="majorHAnsi" w:hAnsiTheme="majorHAnsi" w:cstheme="majorHAnsi"/>
          <w:szCs w:val="20"/>
        </w:rPr>
        <w:t xml:space="preserve">member participation in consortium activities, </w:t>
      </w:r>
      <w:r w:rsidR="005B683A">
        <w:rPr>
          <w:rFonts w:asciiTheme="majorHAnsi" w:hAnsiTheme="majorHAnsi" w:cstheme="majorHAnsi"/>
          <w:szCs w:val="20"/>
        </w:rPr>
        <w:t xml:space="preserve">and creating </w:t>
      </w:r>
      <w:r w:rsidRPr="00BE36F8">
        <w:rPr>
          <w:rFonts w:asciiTheme="majorHAnsi" w:hAnsiTheme="majorHAnsi" w:cstheme="majorHAnsi"/>
          <w:szCs w:val="20"/>
        </w:rPr>
        <w:t>staffing models to s</w:t>
      </w:r>
      <w:r w:rsidR="005B683A">
        <w:rPr>
          <w:rFonts w:asciiTheme="majorHAnsi" w:hAnsiTheme="majorHAnsi" w:cstheme="majorHAnsi"/>
          <w:szCs w:val="20"/>
        </w:rPr>
        <w:t xml:space="preserve">upport agency-wide coordination.  The SOCRC also needs to determine a </w:t>
      </w:r>
      <w:r w:rsidRPr="00BE36F8">
        <w:rPr>
          <w:rFonts w:asciiTheme="majorHAnsi" w:hAnsiTheme="majorHAnsi" w:cstheme="majorHAnsi"/>
          <w:szCs w:val="20"/>
        </w:rPr>
        <w:t xml:space="preserve">sufficient number of classrooms for adult learners. The areas indicating the consortium is doing </w:t>
      </w:r>
      <w:r w:rsidRPr="00BE36F8">
        <w:rPr>
          <w:rFonts w:asciiTheme="majorHAnsi" w:hAnsiTheme="majorHAnsi" w:cstheme="majorHAnsi"/>
          <w:i/>
          <w:szCs w:val="20"/>
        </w:rPr>
        <w:t>very well</w:t>
      </w:r>
      <w:r w:rsidRPr="00BE36F8">
        <w:rPr>
          <w:rFonts w:asciiTheme="majorHAnsi" w:hAnsiTheme="majorHAnsi" w:cstheme="majorHAnsi"/>
          <w:szCs w:val="20"/>
        </w:rPr>
        <w:t xml:space="preserve"> with few improvements to be exceptional (average score of 4) include the overall management and coordinat</w:t>
      </w:r>
      <w:r w:rsidR="00BE36F8">
        <w:rPr>
          <w:rFonts w:asciiTheme="majorHAnsi" w:hAnsiTheme="majorHAnsi" w:cstheme="majorHAnsi"/>
          <w:szCs w:val="20"/>
        </w:rPr>
        <w:t>ion of the SOCRC, the frequency</w:t>
      </w:r>
      <w:r w:rsidRPr="00BE36F8">
        <w:rPr>
          <w:rFonts w:asciiTheme="majorHAnsi" w:hAnsiTheme="majorHAnsi" w:cstheme="majorHAnsi"/>
          <w:szCs w:val="20"/>
        </w:rPr>
        <w:t xml:space="preserve"> of monthly consortium meetings, and the agency leader</w:t>
      </w:r>
      <w:r w:rsidR="00BE36F8">
        <w:rPr>
          <w:rFonts w:asciiTheme="majorHAnsi" w:hAnsiTheme="majorHAnsi" w:cstheme="majorHAnsi"/>
          <w:szCs w:val="20"/>
        </w:rPr>
        <w:t>’</w:t>
      </w:r>
      <w:r w:rsidRPr="00BE36F8">
        <w:rPr>
          <w:rFonts w:asciiTheme="majorHAnsi" w:hAnsiTheme="majorHAnsi" w:cstheme="majorHAnsi"/>
          <w:szCs w:val="20"/>
        </w:rPr>
        <w:t xml:space="preserve">s skills related to meeting the goals and objectives of the California Adult Education Program. </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line="240" w:lineRule="auto"/>
        <w:rPr>
          <w:rFonts w:asciiTheme="majorHAnsi" w:hAnsiTheme="majorHAnsi" w:cstheme="majorHAnsi"/>
          <w:b/>
          <w:szCs w:val="20"/>
          <w:u w:val="single"/>
        </w:rPr>
      </w:pPr>
      <w:r w:rsidRPr="00BE36F8">
        <w:rPr>
          <w:rFonts w:asciiTheme="majorHAnsi" w:hAnsiTheme="majorHAnsi" w:cstheme="majorHAnsi"/>
          <w:b/>
          <w:i/>
          <w:szCs w:val="20"/>
        </w:rPr>
        <w:t>Quality Indicator #2: Connection</w:t>
      </w:r>
    </w:p>
    <w:p w:rsidR="005E61E9" w:rsidRPr="00BE36F8" w:rsidRDefault="005E61E9" w:rsidP="005E61E9">
      <w:pPr>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members’ ability to provide</w:t>
      </w:r>
      <w:r w:rsidR="00DE34F3" w:rsidRPr="00BE36F8">
        <w:rPr>
          <w:rFonts w:asciiTheme="majorHAnsi" w:hAnsiTheme="majorHAnsi" w:cstheme="majorHAnsi"/>
          <w:b/>
          <w:i/>
          <w:szCs w:val="20"/>
        </w:rPr>
        <w:t xml:space="preserve"> </w:t>
      </w:r>
      <w:r w:rsidRPr="00BE36F8">
        <w:rPr>
          <w:rFonts w:asciiTheme="majorHAnsi" w:hAnsiTheme="majorHAnsi" w:cstheme="majorHAnsi"/>
          <w:i/>
          <w:szCs w:val="20"/>
        </w:rPr>
        <w:t>coordinated, proactive engagement to potential students on educational and training options and choices.</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after="0" w:line="240" w:lineRule="auto"/>
        <w:rPr>
          <w:rFonts w:asciiTheme="majorHAnsi" w:hAnsiTheme="majorHAnsi" w:cstheme="majorHAnsi"/>
          <w:szCs w:val="20"/>
        </w:rPr>
      </w:pPr>
      <w:r w:rsidRPr="00BE36F8">
        <w:rPr>
          <w:rFonts w:asciiTheme="majorHAnsi" w:hAnsiTheme="majorHAnsi" w:cstheme="majorHAnsi"/>
          <w:szCs w:val="20"/>
        </w:rPr>
        <w:lastRenderedPageBreak/>
        <w:t xml:space="preserve">The SOCRC members reported mostly </w:t>
      </w:r>
      <w:proofErr w:type="gramStart"/>
      <w:r w:rsidRPr="00BE36F8">
        <w:rPr>
          <w:rFonts w:asciiTheme="majorHAnsi" w:hAnsiTheme="majorHAnsi" w:cstheme="majorHAnsi"/>
          <w:szCs w:val="20"/>
        </w:rPr>
        <w:t>3s</w:t>
      </w:r>
      <w:proofErr w:type="gramEnd"/>
      <w:r w:rsidRPr="00BE36F8">
        <w:rPr>
          <w:rFonts w:asciiTheme="majorHAnsi" w:hAnsiTheme="majorHAnsi" w:cstheme="majorHAnsi"/>
          <w:szCs w:val="20"/>
        </w:rPr>
        <w:t xml:space="preserve"> in this section, indicating the consortium is making progress in this area but further improvement is needed. Responses showed that</w:t>
      </w:r>
      <w:r w:rsidRPr="00BE36F8">
        <w:rPr>
          <w:rFonts w:asciiTheme="majorHAnsi" w:hAnsiTheme="majorHAnsi" w:cstheme="majorHAnsi"/>
          <w:i/>
          <w:szCs w:val="20"/>
        </w:rPr>
        <w:t xml:space="preserve"> some </w:t>
      </w:r>
      <w:r w:rsidRPr="00BE36F8">
        <w:rPr>
          <w:rFonts w:asciiTheme="majorHAnsi" w:hAnsiTheme="majorHAnsi" w:cstheme="majorHAnsi"/>
          <w:szCs w:val="20"/>
        </w:rPr>
        <w:t xml:space="preserve">counselors and advisors are knowledgeable of programs and services provided by the consortium, and the counselors are </w:t>
      </w:r>
      <w:r w:rsidRPr="00BE36F8">
        <w:rPr>
          <w:rFonts w:asciiTheme="majorHAnsi" w:hAnsiTheme="majorHAnsi" w:cstheme="majorHAnsi"/>
          <w:i/>
          <w:szCs w:val="20"/>
        </w:rPr>
        <w:t>somewha</w:t>
      </w:r>
      <w:r w:rsidR="00567317" w:rsidRPr="00BE36F8">
        <w:rPr>
          <w:rFonts w:asciiTheme="majorHAnsi" w:hAnsiTheme="majorHAnsi" w:cstheme="majorHAnsi"/>
          <w:i/>
          <w:szCs w:val="20"/>
        </w:rPr>
        <w:t>t</w:t>
      </w:r>
      <w:r w:rsidRPr="00BE36F8">
        <w:rPr>
          <w:rFonts w:asciiTheme="majorHAnsi" w:hAnsiTheme="majorHAnsi" w:cstheme="majorHAnsi"/>
          <w:szCs w:val="20"/>
        </w:rPr>
        <w:t xml:space="preserve"> comfortable referring students to programs or agencies outside of their campuses. It was also reported that improvement is needed for curricula to be organized around common standards for college and career readiness, and </w:t>
      </w:r>
      <w:r w:rsidRPr="00BE36F8">
        <w:rPr>
          <w:rFonts w:asciiTheme="majorHAnsi" w:hAnsiTheme="majorHAnsi" w:cstheme="majorHAnsi"/>
          <w:i/>
          <w:szCs w:val="20"/>
        </w:rPr>
        <w:t>some</w:t>
      </w:r>
      <w:r w:rsidRPr="00BE36F8">
        <w:rPr>
          <w:rFonts w:asciiTheme="majorHAnsi" w:hAnsiTheme="majorHAnsi" w:cstheme="majorHAnsi"/>
          <w:szCs w:val="20"/>
        </w:rPr>
        <w:t xml:space="preserve"> instructional practices currently incorporate the skills and knowledge learners need to transition successfully to postsecondary education.  The lowest average score in this section (2</w:t>
      </w:r>
      <w:proofErr w:type="gramStart"/>
      <w:r w:rsidRPr="00BE36F8">
        <w:rPr>
          <w:rFonts w:asciiTheme="majorHAnsi" w:hAnsiTheme="majorHAnsi" w:cstheme="majorHAnsi"/>
          <w:szCs w:val="20"/>
        </w:rPr>
        <w:t>),</w:t>
      </w:r>
      <w:proofErr w:type="gramEnd"/>
      <w:r w:rsidRPr="00BE36F8">
        <w:rPr>
          <w:rFonts w:asciiTheme="majorHAnsi" w:hAnsiTheme="majorHAnsi" w:cstheme="majorHAnsi"/>
          <w:szCs w:val="20"/>
        </w:rPr>
        <w:t xml:space="preserve"> indicates further improvement is needed in delineating requirements for program maps that have aligned career pathway opportunities and curricula organized around common standards for college and career readiness. It was also reported that </w:t>
      </w:r>
      <w:r w:rsidRPr="00BE36F8">
        <w:rPr>
          <w:rFonts w:asciiTheme="majorHAnsi" w:hAnsiTheme="majorHAnsi" w:cstheme="majorHAnsi"/>
          <w:i/>
          <w:szCs w:val="20"/>
        </w:rPr>
        <w:t>some</w:t>
      </w:r>
      <w:r w:rsidRPr="00BE36F8">
        <w:rPr>
          <w:rFonts w:asciiTheme="majorHAnsi" w:hAnsiTheme="majorHAnsi" w:cstheme="majorHAnsi"/>
          <w:szCs w:val="20"/>
        </w:rPr>
        <w:t xml:space="preserve"> instructional practices currently incorporate the skills and knowledge learners need to transition successfully to postsecondary education, while targeted support is needed in the SOCRC’s member capacity to create program maps with clear requirements that are aligned with career pathway opportunities across members and partners. </w:t>
      </w:r>
    </w:p>
    <w:p w:rsidR="005E61E9" w:rsidRPr="00BE36F8" w:rsidRDefault="005E61E9" w:rsidP="005E61E9">
      <w:pPr>
        <w:spacing w:line="240" w:lineRule="auto"/>
        <w:rPr>
          <w:rFonts w:asciiTheme="majorHAnsi" w:hAnsiTheme="majorHAnsi" w:cstheme="majorHAnsi"/>
          <w:b/>
          <w:i/>
          <w:szCs w:val="20"/>
        </w:rPr>
      </w:pP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Quality Indicator #3: Entry</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This section asks questions about the consortium members’ ability to have established common intake and assessment procedures and provide career and goal exploration and planning that addresses individual student needs and interests.</w:t>
      </w:r>
    </w:p>
    <w:p w:rsidR="005E61E9" w:rsidRPr="00BE36F8" w:rsidRDefault="005E61E9" w:rsidP="005E61E9">
      <w:pPr>
        <w:spacing w:after="0" w:line="240" w:lineRule="auto"/>
        <w:rPr>
          <w:rFonts w:asciiTheme="majorHAnsi" w:hAnsiTheme="majorHAnsi" w:cstheme="majorHAnsi"/>
          <w:szCs w:val="20"/>
        </w:rPr>
      </w:pPr>
    </w:p>
    <w:p w:rsidR="005E61E9" w:rsidRPr="00BE36F8" w:rsidRDefault="005E61E9" w:rsidP="005E61E9">
      <w:pPr>
        <w:spacing w:after="0" w:line="240" w:lineRule="auto"/>
        <w:rPr>
          <w:rFonts w:asciiTheme="majorHAnsi" w:hAnsiTheme="majorHAnsi" w:cstheme="majorHAnsi"/>
          <w:szCs w:val="20"/>
        </w:rPr>
      </w:pPr>
      <w:r w:rsidRPr="00BE36F8">
        <w:rPr>
          <w:rFonts w:asciiTheme="majorHAnsi" w:hAnsiTheme="majorHAnsi" w:cstheme="majorHAnsi"/>
          <w:szCs w:val="20"/>
        </w:rPr>
        <w:t xml:space="preserve">The survey responses yielded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and 3s in this section, indicating that while progress can be seen in this area, the consortiu</w:t>
      </w:r>
      <w:r w:rsidR="005B683A">
        <w:rPr>
          <w:rFonts w:asciiTheme="majorHAnsi" w:hAnsiTheme="majorHAnsi" w:cstheme="majorHAnsi"/>
          <w:szCs w:val="20"/>
        </w:rPr>
        <w:t>m needs further support</w:t>
      </w:r>
      <w:r w:rsidRPr="00BE36F8">
        <w:rPr>
          <w:rFonts w:asciiTheme="majorHAnsi" w:hAnsiTheme="majorHAnsi" w:cstheme="majorHAnsi"/>
          <w:szCs w:val="20"/>
        </w:rPr>
        <w:t xml:space="preserve"> to improve its outcomes. Members reported </w:t>
      </w:r>
      <w:r w:rsidRPr="00BE36F8">
        <w:rPr>
          <w:rFonts w:asciiTheme="majorHAnsi" w:hAnsiTheme="majorHAnsi" w:cstheme="majorHAnsi"/>
          <w:i/>
          <w:szCs w:val="20"/>
        </w:rPr>
        <w:t>some</w:t>
      </w:r>
      <w:r w:rsidRPr="00BE36F8">
        <w:rPr>
          <w:rFonts w:asciiTheme="majorHAnsi" w:hAnsiTheme="majorHAnsi" w:cstheme="majorHAnsi"/>
          <w:szCs w:val="20"/>
        </w:rPr>
        <w:t xml:space="preserve"> programs provide differentiated orientation for first-time students, and </w:t>
      </w:r>
      <w:r w:rsidRPr="00BE36F8">
        <w:rPr>
          <w:rFonts w:asciiTheme="majorHAnsi" w:hAnsiTheme="majorHAnsi" w:cstheme="majorHAnsi"/>
          <w:i/>
          <w:szCs w:val="20"/>
        </w:rPr>
        <w:t xml:space="preserve">some </w:t>
      </w:r>
      <w:r w:rsidRPr="00BE36F8">
        <w:rPr>
          <w:rFonts w:asciiTheme="majorHAnsi" w:hAnsiTheme="majorHAnsi" w:cstheme="majorHAnsi"/>
          <w:szCs w:val="20"/>
        </w:rPr>
        <w:t xml:space="preserve">partnerships exist in the community to provide counseling, social and academic supports. Members also stated that </w:t>
      </w:r>
      <w:r w:rsidRPr="00BE36F8">
        <w:rPr>
          <w:rFonts w:asciiTheme="majorHAnsi" w:hAnsiTheme="majorHAnsi" w:cstheme="majorHAnsi"/>
          <w:i/>
          <w:szCs w:val="20"/>
        </w:rPr>
        <w:t>some</w:t>
      </w:r>
      <w:r w:rsidRPr="00BE36F8">
        <w:rPr>
          <w:rFonts w:asciiTheme="majorHAnsi" w:hAnsiTheme="majorHAnsi" w:cstheme="majorHAnsi"/>
          <w:szCs w:val="20"/>
        </w:rPr>
        <w:t xml:space="preserve"> consistency currently exists among providers regarding assessment, placement, and use of individualized learning plans. Agencies also reported that individualized educational plans, career program planning at the end of the students’ programs, student wrap-around supports, </w:t>
      </w:r>
      <w:proofErr w:type="gramStart"/>
      <w:r w:rsidRPr="00BE36F8">
        <w:rPr>
          <w:rFonts w:asciiTheme="majorHAnsi" w:hAnsiTheme="majorHAnsi" w:cstheme="majorHAnsi"/>
          <w:szCs w:val="20"/>
        </w:rPr>
        <w:t>formalized</w:t>
      </w:r>
      <w:proofErr w:type="gramEnd"/>
      <w:r w:rsidRPr="00BE36F8">
        <w:rPr>
          <w:rFonts w:asciiTheme="majorHAnsi" w:hAnsiTheme="majorHAnsi" w:cstheme="majorHAnsi"/>
          <w:szCs w:val="20"/>
        </w:rPr>
        <w:t xml:space="preserve"> processes to coordinate academic and non-academic supports to students require targeted support.</w:t>
      </w:r>
    </w:p>
    <w:p w:rsidR="005E61E9" w:rsidRPr="00BE36F8" w:rsidRDefault="005E61E9" w:rsidP="005E61E9">
      <w:pPr>
        <w:spacing w:line="240" w:lineRule="auto"/>
        <w:rPr>
          <w:rFonts w:asciiTheme="majorHAnsi" w:hAnsiTheme="majorHAnsi" w:cstheme="majorHAnsi"/>
          <w:b/>
          <w:i/>
          <w:szCs w:val="20"/>
        </w:rPr>
      </w:pP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Quality Indicator #4: Progress</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t xml:space="preserve">This section asks questions about the consortium members’ ability to have shared and aligned programs, which allow students to accelerate progress via courses that </w:t>
      </w:r>
      <w:proofErr w:type="gramStart"/>
      <w:r w:rsidRPr="00BE36F8">
        <w:rPr>
          <w:rFonts w:asciiTheme="majorHAnsi" w:hAnsiTheme="majorHAnsi" w:cstheme="majorHAnsi"/>
          <w:i/>
          <w:szCs w:val="20"/>
        </w:rPr>
        <w:t>are geared</w:t>
      </w:r>
      <w:proofErr w:type="gramEnd"/>
      <w:r w:rsidRPr="00BE36F8">
        <w:rPr>
          <w:rFonts w:asciiTheme="majorHAnsi" w:hAnsiTheme="majorHAnsi" w:cstheme="majorHAnsi"/>
          <w:i/>
          <w:szCs w:val="20"/>
        </w:rPr>
        <w:t xml:space="preserve"> toward academic, career, and community goals.</w:t>
      </w:r>
    </w:p>
    <w:p w:rsidR="005E61E9" w:rsidRPr="00BE36F8" w:rsidRDefault="005E61E9" w:rsidP="005E61E9">
      <w:pPr>
        <w:autoSpaceDE w:val="0"/>
        <w:autoSpaceDN w:val="0"/>
        <w:adjustRightInd w:val="0"/>
        <w:spacing w:after="0" w:line="240" w:lineRule="auto"/>
        <w:rPr>
          <w:rFonts w:asciiTheme="majorHAnsi" w:hAnsiTheme="majorHAnsi" w:cstheme="majorHAnsi"/>
          <w:i/>
          <w:color w:val="FF0000"/>
          <w:szCs w:val="20"/>
        </w:rPr>
      </w:pPr>
    </w:p>
    <w:p w:rsidR="005E61E9" w:rsidRPr="00BE36F8" w:rsidRDefault="005E61E9" w:rsidP="005E61E9">
      <w:pPr>
        <w:autoSpaceDE w:val="0"/>
        <w:autoSpaceDN w:val="0"/>
        <w:adjustRightInd w:val="0"/>
        <w:spacing w:after="0" w:line="240" w:lineRule="auto"/>
        <w:rPr>
          <w:rFonts w:asciiTheme="majorHAnsi" w:hAnsiTheme="majorHAnsi" w:cstheme="majorHAnsi"/>
          <w:color w:val="auto"/>
          <w:szCs w:val="20"/>
        </w:rPr>
      </w:pPr>
      <w:r w:rsidRPr="00BE36F8">
        <w:rPr>
          <w:rFonts w:asciiTheme="majorHAnsi" w:hAnsiTheme="majorHAnsi" w:cstheme="majorHAnsi"/>
          <w:szCs w:val="20"/>
        </w:rPr>
        <w:t xml:space="preserve">With more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than 3s reported in the section, the survey results show the SOCRC’s capacity for shared and aligned programs is an area requiring further improvement. Agencies reported that </w:t>
      </w:r>
      <w:r w:rsidRPr="00BE36F8">
        <w:rPr>
          <w:rFonts w:asciiTheme="majorHAnsi" w:hAnsiTheme="majorHAnsi" w:cstheme="majorHAnsi"/>
          <w:i/>
          <w:szCs w:val="20"/>
        </w:rPr>
        <w:t>some</w:t>
      </w:r>
      <w:r w:rsidRPr="00BE36F8">
        <w:rPr>
          <w:rFonts w:asciiTheme="majorHAnsi" w:hAnsiTheme="majorHAnsi" w:cstheme="majorHAnsi"/>
          <w:szCs w:val="20"/>
        </w:rPr>
        <w:t xml:space="preserve"> alignment has occurred, and </w:t>
      </w:r>
      <w:r w:rsidRPr="00BE36F8">
        <w:rPr>
          <w:rFonts w:asciiTheme="majorHAnsi" w:hAnsiTheme="majorHAnsi" w:cstheme="majorHAnsi"/>
          <w:i/>
          <w:szCs w:val="20"/>
        </w:rPr>
        <w:t>some</w:t>
      </w:r>
      <w:r w:rsidRPr="00BE36F8">
        <w:rPr>
          <w:rFonts w:asciiTheme="majorHAnsi" w:hAnsiTheme="majorHAnsi" w:cstheme="majorHAnsi"/>
          <w:szCs w:val="20"/>
        </w:rPr>
        <w:t xml:space="preserve"> curricula </w:t>
      </w:r>
      <w:proofErr w:type="gramStart"/>
      <w:r w:rsidRPr="00BE36F8">
        <w:rPr>
          <w:rFonts w:asciiTheme="majorHAnsi" w:hAnsiTheme="majorHAnsi" w:cstheme="majorHAnsi"/>
          <w:szCs w:val="20"/>
        </w:rPr>
        <w:t>have been updated</w:t>
      </w:r>
      <w:proofErr w:type="gramEnd"/>
      <w:r w:rsidRPr="00BE36F8">
        <w:rPr>
          <w:rFonts w:asciiTheme="majorHAnsi" w:hAnsiTheme="majorHAnsi" w:cstheme="majorHAnsi"/>
          <w:szCs w:val="20"/>
        </w:rPr>
        <w:t xml:space="preserve"> based on current learning theory/promising practices. It </w:t>
      </w:r>
      <w:proofErr w:type="gramStart"/>
      <w:r w:rsidRPr="00BE36F8">
        <w:rPr>
          <w:rFonts w:asciiTheme="majorHAnsi" w:hAnsiTheme="majorHAnsi" w:cstheme="majorHAnsi"/>
          <w:szCs w:val="20"/>
        </w:rPr>
        <w:t>was also reported</w:t>
      </w:r>
      <w:proofErr w:type="gramEnd"/>
      <w:r w:rsidRPr="00BE36F8">
        <w:rPr>
          <w:rFonts w:asciiTheme="majorHAnsi" w:hAnsiTheme="majorHAnsi" w:cstheme="majorHAnsi"/>
          <w:szCs w:val="20"/>
        </w:rPr>
        <w:t xml:space="preserve"> that </w:t>
      </w:r>
      <w:r w:rsidRPr="00BE36F8">
        <w:rPr>
          <w:rFonts w:asciiTheme="majorHAnsi" w:hAnsiTheme="majorHAnsi" w:cstheme="majorHAnsi"/>
          <w:i/>
          <w:szCs w:val="20"/>
        </w:rPr>
        <w:t>minimal</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contextualized ESL is being provided by the agencies, </w:t>
      </w:r>
      <w:r w:rsidRPr="00BE36F8">
        <w:rPr>
          <w:rFonts w:asciiTheme="majorHAnsi" w:hAnsiTheme="majorHAnsi" w:cstheme="majorHAnsi"/>
          <w:i/>
          <w:szCs w:val="20"/>
        </w:rPr>
        <w:t>few</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concurrent enrollment opportunities are available, and </w:t>
      </w:r>
      <w:r w:rsidRPr="00BE36F8">
        <w:rPr>
          <w:rFonts w:asciiTheme="majorHAnsi" w:hAnsiTheme="majorHAnsi" w:cstheme="majorHAnsi"/>
          <w:i/>
          <w:szCs w:val="20"/>
        </w:rPr>
        <w:t>little</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agencies have processes to track student support and using data to ensure student success. </w:t>
      </w:r>
    </w:p>
    <w:p w:rsidR="005E61E9" w:rsidRPr="00BE36F8" w:rsidRDefault="005E61E9" w:rsidP="005E61E9">
      <w:pPr>
        <w:spacing w:line="240" w:lineRule="auto"/>
        <w:rPr>
          <w:rFonts w:asciiTheme="majorHAnsi" w:hAnsiTheme="majorHAnsi" w:cstheme="majorHAnsi"/>
          <w:b/>
          <w:szCs w:val="20"/>
          <w:u w:val="single"/>
        </w:rPr>
      </w:pPr>
    </w:p>
    <w:p w:rsidR="005E61E9" w:rsidRPr="00BE36F8" w:rsidRDefault="005E61E9" w:rsidP="005E61E9">
      <w:pPr>
        <w:spacing w:line="240" w:lineRule="auto"/>
        <w:rPr>
          <w:rFonts w:asciiTheme="majorHAnsi" w:hAnsiTheme="majorHAnsi" w:cstheme="majorHAnsi"/>
          <w:b/>
          <w:i/>
          <w:szCs w:val="20"/>
        </w:rPr>
      </w:pPr>
      <w:r w:rsidRPr="00BE36F8">
        <w:rPr>
          <w:rFonts w:asciiTheme="majorHAnsi" w:hAnsiTheme="majorHAnsi" w:cstheme="majorHAnsi"/>
          <w:b/>
          <w:i/>
          <w:szCs w:val="20"/>
        </w:rPr>
        <w:t>Quality Indicator #5: Completion/Transition</w:t>
      </w:r>
    </w:p>
    <w:p w:rsidR="005E61E9" w:rsidRPr="00BE36F8" w:rsidRDefault="005E61E9" w:rsidP="005E61E9">
      <w:pPr>
        <w:autoSpaceDE w:val="0"/>
        <w:autoSpaceDN w:val="0"/>
        <w:adjustRightInd w:val="0"/>
        <w:spacing w:after="0" w:line="240" w:lineRule="auto"/>
        <w:rPr>
          <w:rFonts w:asciiTheme="majorHAnsi" w:hAnsiTheme="majorHAnsi" w:cstheme="majorHAnsi"/>
          <w:i/>
          <w:szCs w:val="20"/>
        </w:rPr>
      </w:pPr>
      <w:r w:rsidRPr="00BE36F8">
        <w:rPr>
          <w:rFonts w:asciiTheme="majorHAnsi" w:hAnsiTheme="majorHAnsi" w:cstheme="majorHAnsi"/>
          <w:i/>
          <w:szCs w:val="20"/>
        </w:rPr>
        <w:lastRenderedPageBreak/>
        <w:t>This section asks questions about the consortium members’ ability to facilitate timely program completion and successful transition into postsecondary education, training, and/or employment.</w:t>
      </w:r>
    </w:p>
    <w:p w:rsidR="005E61E9" w:rsidRPr="00BE36F8" w:rsidRDefault="005E61E9" w:rsidP="005E61E9">
      <w:pPr>
        <w:spacing w:line="240" w:lineRule="auto"/>
        <w:rPr>
          <w:rFonts w:asciiTheme="majorHAnsi" w:hAnsiTheme="majorHAnsi" w:cstheme="majorHAnsi"/>
          <w:szCs w:val="20"/>
        </w:rPr>
      </w:pPr>
    </w:p>
    <w:p w:rsidR="005E61E9" w:rsidRPr="00BE36F8" w:rsidRDefault="005E61E9" w:rsidP="005E61E9">
      <w:pPr>
        <w:spacing w:line="240" w:lineRule="auto"/>
        <w:rPr>
          <w:rFonts w:asciiTheme="majorHAnsi" w:hAnsiTheme="majorHAnsi" w:cstheme="majorHAnsi"/>
          <w:szCs w:val="20"/>
        </w:rPr>
      </w:pPr>
      <w:r w:rsidRPr="00BE36F8">
        <w:rPr>
          <w:rFonts w:asciiTheme="majorHAnsi" w:hAnsiTheme="majorHAnsi" w:cstheme="majorHAnsi"/>
          <w:szCs w:val="20"/>
        </w:rPr>
        <w:t xml:space="preserve">The Consortium reported equal number of </w:t>
      </w:r>
      <w:proofErr w:type="gramStart"/>
      <w:r w:rsidRPr="00BE36F8">
        <w:rPr>
          <w:rFonts w:asciiTheme="majorHAnsi" w:hAnsiTheme="majorHAnsi" w:cstheme="majorHAnsi"/>
          <w:szCs w:val="20"/>
        </w:rPr>
        <w:t>2s</w:t>
      </w:r>
      <w:proofErr w:type="gramEnd"/>
      <w:r w:rsidRPr="00BE36F8">
        <w:rPr>
          <w:rFonts w:asciiTheme="majorHAnsi" w:hAnsiTheme="majorHAnsi" w:cstheme="majorHAnsi"/>
          <w:szCs w:val="20"/>
        </w:rPr>
        <w:t xml:space="preserve"> and 3s in this section, indicating additional work </w:t>
      </w:r>
      <w:r w:rsidR="005B683A">
        <w:rPr>
          <w:rFonts w:asciiTheme="majorHAnsi" w:hAnsiTheme="majorHAnsi" w:cstheme="majorHAnsi"/>
          <w:szCs w:val="20"/>
        </w:rPr>
        <w:t xml:space="preserve">that </w:t>
      </w:r>
      <w:r w:rsidRPr="00BE36F8">
        <w:rPr>
          <w:rFonts w:asciiTheme="majorHAnsi" w:hAnsiTheme="majorHAnsi" w:cstheme="majorHAnsi"/>
          <w:szCs w:val="20"/>
        </w:rPr>
        <w:t xml:space="preserve">needs to be addressed in the completion and transition of students. With an average score of </w:t>
      </w:r>
      <w:proofErr w:type="gramStart"/>
      <w:r w:rsidRPr="00BE36F8">
        <w:rPr>
          <w:rFonts w:asciiTheme="majorHAnsi" w:hAnsiTheme="majorHAnsi" w:cstheme="majorHAnsi"/>
          <w:szCs w:val="20"/>
        </w:rPr>
        <w:t>3</w:t>
      </w:r>
      <w:proofErr w:type="gramEnd"/>
      <w:r w:rsidRPr="00BE36F8">
        <w:rPr>
          <w:rFonts w:asciiTheme="majorHAnsi" w:hAnsiTheme="majorHAnsi" w:cstheme="majorHAnsi"/>
          <w:szCs w:val="20"/>
        </w:rPr>
        <w:t xml:space="preserve">, the survey showed that </w:t>
      </w:r>
      <w:r w:rsidRPr="00BE36F8">
        <w:rPr>
          <w:rFonts w:asciiTheme="majorHAnsi" w:hAnsiTheme="majorHAnsi" w:cstheme="majorHAnsi"/>
          <w:i/>
          <w:szCs w:val="20"/>
        </w:rPr>
        <w:t>some</w:t>
      </w:r>
      <w:r w:rsidRPr="00BE36F8">
        <w:rPr>
          <w:rFonts w:asciiTheme="majorHAnsi" w:hAnsiTheme="majorHAnsi" w:cstheme="majorHAnsi"/>
          <w:szCs w:val="20"/>
        </w:rPr>
        <w:t xml:space="preserve"> programs have formal/dual –enrollment policies or agreements, </w:t>
      </w:r>
      <w:r w:rsidRPr="00BE36F8">
        <w:rPr>
          <w:rFonts w:asciiTheme="majorHAnsi" w:hAnsiTheme="majorHAnsi" w:cstheme="majorHAnsi"/>
          <w:i/>
          <w:szCs w:val="20"/>
        </w:rPr>
        <w:t>some</w:t>
      </w:r>
      <w:r w:rsidRPr="00BE36F8">
        <w:rPr>
          <w:rFonts w:asciiTheme="majorHAnsi" w:hAnsiTheme="majorHAnsi" w:cstheme="majorHAnsi"/>
          <w:szCs w:val="20"/>
        </w:rPr>
        <w:t xml:space="preserve"> goal achievement is being evaluated with data, and </w:t>
      </w:r>
      <w:r w:rsidRPr="00BE36F8">
        <w:rPr>
          <w:rFonts w:asciiTheme="majorHAnsi" w:hAnsiTheme="majorHAnsi" w:cstheme="majorHAnsi"/>
          <w:i/>
          <w:szCs w:val="20"/>
        </w:rPr>
        <w:t>some</w:t>
      </w:r>
      <w:r w:rsidRPr="00BE36F8">
        <w:rPr>
          <w:rFonts w:asciiTheme="majorHAnsi" w:hAnsiTheme="majorHAnsi" w:cstheme="majorHAnsi"/>
          <w:szCs w:val="20"/>
        </w:rPr>
        <w:t xml:space="preserve"> of the programs are involved in continuous improvement planning and evaluation. The remaining prompts in this section yielded an average score of 2, revealing there are </w:t>
      </w:r>
      <w:r w:rsidRPr="00BE36F8">
        <w:rPr>
          <w:rFonts w:asciiTheme="majorHAnsi" w:hAnsiTheme="majorHAnsi" w:cstheme="majorHAnsi"/>
          <w:i/>
          <w:szCs w:val="20"/>
        </w:rPr>
        <w:t>little</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agencies providing case managed transition support, </w:t>
      </w:r>
      <w:r w:rsidRPr="00BE36F8">
        <w:rPr>
          <w:rFonts w:asciiTheme="majorHAnsi" w:hAnsiTheme="majorHAnsi" w:cstheme="majorHAnsi"/>
          <w:i/>
          <w:szCs w:val="20"/>
        </w:rPr>
        <w:t>little</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student achievement performance tracking is being conducted, and </w:t>
      </w:r>
      <w:r w:rsidRPr="00BE36F8">
        <w:rPr>
          <w:rFonts w:asciiTheme="majorHAnsi" w:hAnsiTheme="majorHAnsi" w:cstheme="majorHAnsi"/>
          <w:i/>
          <w:szCs w:val="20"/>
        </w:rPr>
        <w:t>few</w:t>
      </w:r>
      <w:r w:rsidRPr="00BE36F8">
        <w:rPr>
          <w:rFonts w:asciiTheme="majorHAnsi" w:hAnsiTheme="majorHAnsi" w:cstheme="majorHAnsi"/>
          <w:szCs w:val="20"/>
        </w:rPr>
        <w:t xml:space="preserve"> to </w:t>
      </w:r>
      <w:r w:rsidRPr="00BE36F8">
        <w:rPr>
          <w:rFonts w:asciiTheme="majorHAnsi" w:hAnsiTheme="majorHAnsi" w:cstheme="majorHAnsi"/>
          <w:i/>
          <w:szCs w:val="20"/>
        </w:rPr>
        <w:t>some</w:t>
      </w:r>
      <w:r w:rsidRPr="00BE36F8">
        <w:rPr>
          <w:rFonts w:asciiTheme="majorHAnsi" w:hAnsiTheme="majorHAnsi" w:cstheme="majorHAnsi"/>
          <w:szCs w:val="20"/>
        </w:rPr>
        <w:t xml:space="preserve"> formal agreements with regional partners have yet to be established.  </w:t>
      </w:r>
    </w:p>
    <w:p w:rsidR="005E61E9" w:rsidRPr="00BE36F8" w:rsidRDefault="005E61E9" w:rsidP="005E61E9">
      <w:pPr>
        <w:spacing w:line="240" w:lineRule="auto"/>
        <w:rPr>
          <w:rFonts w:cstheme="minorHAnsi"/>
          <w:sz w:val="24"/>
        </w:rPr>
      </w:pPr>
      <w:r w:rsidRPr="00BE36F8">
        <w:rPr>
          <w:rFonts w:cstheme="minorHAnsi"/>
          <w:sz w:val="24"/>
        </w:rPr>
        <w:t xml:space="preserve"> </w:t>
      </w:r>
    </w:p>
    <w:p w:rsidR="00C37EAC" w:rsidRPr="00BE36F8" w:rsidRDefault="00C37EAC">
      <w:pPr>
        <w:rPr>
          <w:sz w:val="24"/>
        </w:rPr>
      </w:pPr>
    </w:p>
    <w:p w:rsidR="00C37EAC" w:rsidRDefault="00C85CD3">
      <w:pPr>
        <w:spacing w:after="0" w:line="240" w:lineRule="auto"/>
        <w:rPr>
          <w:b/>
          <w:sz w:val="20"/>
          <w:szCs w:val="20"/>
        </w:rPr>
      </w:pPr>
      <w:r>
        <w:br/>
      </w:r>
    </w:p>
    <w:p w:rsidR="00C37EAC" w:rsidRDefault="00C85CD3">
      <w:pPr>
        <w:widowControl w:val="0"/>
        <w:pBdr>
          <w:top w:val="nil"/>
          <w:left w:val="nil"/>
          <w:bottom w:val="nil"/>
          <w:right w:val="nil"/>
          <w:between w:val="nil"/>
        </w:pBdr>
        <w:spacing w:after="0"/>
        <w:rPr>
          <w:b/>
          <w:sz w:val="20"/>
          <w:szCs w:val="20"/>
        </w:rPr>
        <w:sectPr w:rsidR="00C37EAC">
          <w:type w:val="continuous"/>
          <w:pgSz w:w="12240" w:h="15840"/>
          <w:pgMar w:top="1739" w:right="1440" w:bottom="1440" w:left="1440" w:header="720" w:footer="720" w:gutter="0"/>
          <w:cols w:space="720"/>
        </w:sectPr>
      </w:pPr>
      <w:r>
        <w:br w:type="page"/>
      </w:r>
    </w:p>
    <w:p w:rsidR="00C37EAC" w:rsidRDefault="00C85CD3">
      <w:pPr>
        <w:pStyle w:val="Heading3"/>
      </w:pPr>
      <w:bookmarkStart w:id="9" w:name="_4d34og8" w:colFirst="0" w:colLast="0"/>
      <w:bookmarkEnd w:id="9"/>
      <w:r>
        <w:lastRenderedPageBreak/>
        <w:t>Table 1. Regional Service Providers</w:t>
      </w:r>
    </w:p>
    <w:tbl>
      <w:tblPr>
        <w:tblStyle w:val="a"/>
        <w:tblW w:w="14389" w:type="dxa"/>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95"/>
        <w:gridCol w:w="1665"/>
        <w:gridCol w:w="2254"/>
        <w:gridCol w:w="533"/>
        <w:gridCol w:w="533"/>
        <w:gridCol w:w="533"/>
        <w:gridCol w:w="533"/>
        <w:gridCol w:w="533"/>
        <w:gridCol w:w="533"/>
        <w:gridCol w:w="533"/>
        <w:gridCol w:w="533"/>
        <w:gridCol w:w="3011"/>
      </w:tblGrid>
      <w:tr w:rsidR="00C37EAC" w:rsidTr="005E61E9">
        <w:trPr>
          <w:trHeight w:val="500"/>
        </w:trPr>
        <w:tc>
          <w:tcPr>
            <w:tcW w:w="3195" w:type="dxa"/>
            <w:vMerge w:val="restart"/>
            <w:shd w:val="clear" w:color="auto" w:fill="073763"/>
            <w:vAlign w:val="center"/>
          </w:tcPr>
          <w:p w:rsidR="00C37EAC" w:rsidRDefault="00C85CD3">
            <w:pPr>
              <w:spacing w:after="0" w:line="240" w:lineRule="auto"/>
              <w:rPr>
                <w:b/>
                <w:color w:val="FFFFFF"/>
                <w:sz w:val="20"/>
                <w:szCs w:val="20"/>
              </w:rPr>
            </w:pPr>
            <w:bookmarkStart w:id="10" w:name="_2s8eyo1" w:colFirst="0" w:colLast="0"/>
            <w:bookmarkEnd w:id="10"/>
            <w:r>
              <w:rPr>
                <w:b/>
                <w:color w:val="FFFFFF"/>
                <w:sz w:val="20"/>
                <w:szCs w:val="20"/>
              </w:rPr>
              <w:t>Provider Name</w:t>
            </w:r>
          </w:p>
        </w:tc>
        <w:tc>
          <w:tcPr>
            <w:tcW w:w="1665" w:type="dxa"/>
            <w:vMerge w:val="restart"/>
            <w:shd w:val="clear" w:color="auto" w:fill="073763"/>
            <w:vAlign w:val="center"/>
          </w:tcPr>
          <w:p w:rsidR="00C37EAC" w:rsidRDefault="00C85CD3">
            <w:pPr>
              <w:spacing w:after="0" w:line="240" w:lineRule="auto"/>
              <w:rPr>
                <w:b/>
                <w:color w:val="FFFFFF"/>
                <w:sz w:val="20"/>
                <w:szCs w:val="20"/>
              </w:rPr>
            </w:pPr>
            <w:r>
              <w:rPr>
                <w:b/>
                <w:color w:val="FFFFFF"/>
                <w:sz w:val="20"/>
                <w:szCs w:val="20"/>
              </w:rPr>
              <w:t>Provider Type</w:t>
            </w:r>
          </w:p>
        </w:tc>
        <w:tc>
          <w:tcPr>
            <w:tcW w:w="2254" w:type="dxa"/>
            <w:vMerge w:val="restart"/>
            <w:shd w:val="clear" w:color="auto" w:fill="073763"/>
            <w:vAlign w:val="center"/>
          </w:tcPr>
          <w:p w:rsidR="00C37EAC" w:rsidRDefault="00C85CD3">
            <w:pPr>
              <w:spacing w:after="0" w:line="240" w:lineRule="auto"/>
              <w:rPr>
                <w:b/>
                <w:color w:val="FFFFFF"/>
                <w:sz w:val="20"/>
                <w:szCs w:val="20"/>
              </w:rPr>
            </w:pPr>
            <w:r>
              <w:rPr>
                <w:b/>
                <w:color w:val="FFFFFF"/>
                <w:sz w:val="20"/>
                <w:szCs w:val="20"/>
              </w:rPr>
              <w:t>Address or location(s) where AE services are provided</w:t>
            </w:r>
          </w:p>
        </w:tc>
        <w:tc>
          <w:tcPr>
            <w:tcW w:w="4264" w:type="dxa"/>
            <w:gridSpan w:val="8"/>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Program Areas</w:t>
            </w:r>
          </w:p>
        </w:tc>
        <w:tc>
          <w:tcPr>
            <w:tcW w:w="3011" w:type="dxa"/>
            <w:vMerge w:val="restart"/>
            <w:shd w:val="clear" w:color="auto" w:fill="073763"/>
            <w:vAlign w:val="center"/>
          </w:tcPr>
          <w:p w:rsidR="00C37EAC" w:rsidRDefault="00C85CD3">
            <w:pPr>
              <w:spacing w:after="0" w:line="240" w:lineRule="auto"/>
              <w:rPr>
                <w:b/>
                <w:color w:val="FFFFFF"/>
                <w:sz w:val="20"/>
                <w:szCs w:val="20"/>
              </w:rPr>
            </w:pPr>
            <w:r>
              <w:rPr>
                <w:b/>
                <w:color w:val="FFFFFF"/>
                <w:sz w:val="20"/>
                <w:szCs w:val="20"/>
              </w:rPr>
              <w:t>If other, provide a brief description of services provided</w:t>
            </w:r>
          </w:p>
        </w:tc>
      </w:tr>
      <w:tr w:rsidR="00C37EAC" w:rsidTr="005E61E9">
        <w:trPr>
          <w:trHeight w:val="120"/>
        </w:trPr>
        <w:tc>
          <w:tcPr>
            <w:tcW w:w="3195"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20"/>
                <w:szCs w:val="20"/>
              </w:rPr>
            </w:pPr>
          </w:p>
        </w:tc>
        <w:tc>
          <w:tcPr>
            <w:tcW w:w="1665"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20"/>
                <w:szCs w:val="20"/>
              </w:rPr>
            </w:pPr>
          </w:p>
        </w:tc>
        <w:tc>
          <w:tcPr>
            <w:tcW w:w="2254"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20"/>
                <w:szCs w:val="20"/>
              </w:rPr>
            </w:pP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ABE</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ASE</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ESL</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CTE</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AWD</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WR</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PA</w:t>
            </w:r>
          </w:p>
        </w:tc>
        <w:tc>
          <w:tcPr>
            <w:tcW w:w="533" w:type="dxa"/>
            <w:shd w:val="clear" w:color="auto" w:fill="073763"/>
            <w:vAlign w:val="center"/>
          </w:tcPr>
          <w:p w:rsidR="00C37EAC" w:rsidRDefault="00C85CD3">
            <w:pPr>
              <w:spacing w:after="0" w:line="240" w:lineRule="auto"/>
              <w:jc w:val="center"/>
              <w:rPr>
                <w:b/>
                <w:color w:val="FFFFFF"/>
                <w:sz w:val="12"/>
                <w:szCs w:val="12"/>
              </w:rPr>
            </w:pPr>
            <w:r>
              <w:rPr>
                <w:b/>
                <w:color w:val="FFFFFF"/>
                <w:sz w:val="12"/>
                <w:szCs w:val="12"/>
              </w:rPr>
              <w:t>ACS</w:t>
            </w:r>
          </w:p>
        </w:tc>
        <w:tc>
          <w:tcPr>
            <w:tcW w:w="3011" w:type="dxa"/>
            <w:vMerge/>
            <w:shd w:val="clear" w:color="auto" w:fill="073763"/>
            <w:vAlign w:val="center"/>
          </w:tcPr>
          <w:p w:rsidR="00C37EAC" w:rsidRDefault="00C37EAC">
            <w:pPr>
              <w:widowControl w:val="0"/>
              <w:pBdr>
                <w:top w:val="nil"/>
                <w:left w:val="nil"/>
                <w:bottom w:val="nil"/>
                <w:right w:val="nil"/>
                <w:between w:val="nil"/>
              </w:pBdr>
              <w:spacing w:after="0"/>
              <w:rPr>
                <w:b/>
                <w:color w:val="FFFFFF"/>
                <w:sz w:val="12"/>
                <w:szCs w:val="12"/>
              </w:rPr>
            </w:pPr>
          </w:p>
        </w:tc>
      </w:tr>
      <w:tr w:rsidR="00C37EAC" w:rsidTr="005E61E9">
        <w:trPr>
          <w:trHeight w:val="560"/>
        </w:trPr>
        <w:tc>
          <w:tcPr>
            <w:tcW w:w="3195" w:type="dxa"/>
            <w:shd w:val="clear" w:color="auto" w:fill="D3DFEE"/>
            <w:vAlign w:val="center"/>
          </w:tcPr>
          <w:p w:rsidR="00C37EAC" w:rsidRDefault="00C85CD3">
            <w:pPr>
              <w:spacing w:after="0" w:line="240" w:lineRule="auto"/>
              <w:rPr>
                <w:i/>
                <w:color w:val="000000"/>
                <w:sz w:val="16"/>
                <w:szCs w:val="16"/>
              </w:rPr>
            </w:pPr>
            <w:r>
              <w:rPr>
                <w:i/>
                <w:color w:val="000000"/>
                <w:sz w:val="16"/>
                <w:szCs w:val="16"/>
              </w:rPr>
              <w:t>XYZ Agency</w:t>
            </w:r>
          </w:p>
        </w:tc>
        <w:tc>
          <w:tcPr>
            <w:tcW w:w="1665" w:type="dxa"/>
            <w:shd w:val="clear" w:color="auto" w:fill="D3DFEE"/>
            <w:vAlign w:val="center"/>
          </w:tcPr>
          <w:p w:rsidR="00C37EAC" w:rsidRDefault="00C85CD3">
            <w:pPr>
              <w:spacing w:after="0" w:line="240" w:lineRule="auto"/>
              <w:rPr>
                <w:i/>
                <w:color w:val="000000"/>
                <w:sz w:val="16"/>
                <w:szCs w:val="16"/>
              </w:rPr>
            </w:pPr>
            <w:r>
              <w:rPr>
                <w:i/>
                <w:color w:val="000000"/>
                <w:sz w:val="16"/>
                <w:szCs w:val="16"/>
              </w:rPr>
              <w:t>Business / Industry</w:t>
            </w:r>
          </w:p>
        </w:tc>
        <w:tc>
          <w:tcPr>
            <w:tcW w:w="2254" w:type="dxa"/>
            <w:shd w:val="clear" w:color="auto" w:fill="D3DFEE"/>
            <w:vAlign w:val="center"/>
          </w:tcPr>
          <w:p w:rsidR="00C37EAC" w:rsidRDefault="00C85CD3">
            <w:pPr>
              <w:spacing w:after="0" w:line="240" w:lineRule="auto"/>
              <w:rPr>
                <w:i/>
                <w:color w:val="000000"/>
                <w:sz w:val="16"/>
                <w:szCs w:val="16"/>
              </w:rPr>
            </w:pPr>
            <w:r>
              <w:rPr>
                <w:i/>
                <w:color w:val="000000"/>
                <w:sz w:val="16"/>
                <w:szCs w:val="16"/>
              </w:rPr>
              <w:t>555 Adult Education Lane, Los Angeles, CA 90001</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533" w:type="dxa"/>
            <w:shd w:val="clear" w:color="auto" w:fill="D3DFEE"/>
            <w:vAlign w:val="center"/>
          </w:tcPr>
          <w:p w:rsidR="00C37EAC" w:rsidRDefault="00C85CD3">
            <w:pPr>
              <w:spacing w:after="0" w:line="240" w:lineRule="auto"/>
              <w:jc w:val="center"/>
              <w:rPr>
                <w:i/>
                <w:color w:val="000000"/>
                <w:sz w:val="16"/>
                <w:szCs w:val="16"/>
              </w:rPr>
            </w:pPr>
            <w:r>
              <w:rPr>
                <w:i/>
                <w:color w:val="000000"/>
                <w:sz w:val="16"/>
                <w:szCs w:val="16"/>
              </w:rPr>
              <w:t>X</w:t>
            </w:r>
          </w:p>
        </w:tc>
        <w:tc>
          <w:tcPr>
            <w:tcW w:w="3011" w:type="dxa"/>
            <w:shd w:val="clear" w:color="auto" w:fill="D3DFEE"/>
            <w:vAlign w:val="center"/>
          </w:tcPr>
          <w:p w:rsidR="00C37EAC" w:rsidRDefault="00C85CD3">
            <w:pPr>
              <w:spacing w:after="0" w:line="240" w:lineRule="auto"/>
              <w:rPr>
                <w:i/>
                <w:color w:val="000000"/>
                <w:sz w:val="16"/>
                <w:szCs w:val="16"/>
              </w:rPr>
            </w:pPr>
            <w:r>
              <w:rPr>
                <w:i/>
                <w:color w:val="000000"/>
                <w:sz w:val="16"/>
                <w:szCs w:val="16"/>
              </w:rPr>
              <w:t>XYZ agency provides opportunities for students in Manufacturing Bridge Courses to Job Shadow.</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Capistrano Unified School District</w:t>
            </w:r>
            <w:r>
              <w:rPr>
                <w:rFonts w:asciiTheme="minorHAnsi" w:hAnsiTheme="minorHAnsi" w:cs="Arial"/>
                <w:color w:val="04326C"/>
                <w:sz w:val="20"/>
              </w:rPr>
              <w:fldChar w:fldCharType="end"/>
            </w:r>
            <w:r w:rsidR="00C71603">
              <w:rPr>
                <w:rFonts w:asciiTheme="minorHAnsi" w:hAnsiTheme="minorHAnsi" w:cs="Arial"/>
                <w:color w:val="04326C"/>
                <w:sz w:val="20"/>
              </w:rPr>
              <w:t>- Serra High School</w:t>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K-12 Partner</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sidR="00C71603">
              <w:rPr>
                <w:rFonts w:asciiTheme="minorHAnsi" w:hAnsiTheme="minorHAnsi" w:cs="Arial"/>
                <w:noProof/>
                <w:color w:val="04326C"/>
                <w:sz w:val="20"/>
              </w:rPr>
              <w:t>31351</w:t>
            </w:r>
            <w:r>
              <w:rPr>
                <w:rFonts w:asciiTheme="minorHAnsi" w:hAnsiTheme="minorHAnsi" w:cs="Arial"/>
                <w:noProof/>
                <w:color w:val="04326C"/>
                <w:sz w:val="20"/>
              </w:rPr>
              <w:t xml:space="preserve"> Camino Capistrano, San Juan Capistrano, CA 92675 </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Capistrano Unified School District</w:t>
            </w:r>
            <w:r>
              <w:rPr>
                <w:rFonts w:asciiTheme="minorHAnsi" w:hAnsiTheme="minorHAnsi" w:cs="Arial"/>
                <w:color w:val="04326C"/>
                <w:sz w:val="20"/>
              </w:rPr>
              <w:fldChar w:fldCharType="end"/>
            </w:r>
            <w:r w:rsidR="00C71603">
              <w:rPr>
                <w:rFonts w:asciiTheme="minorHAnsi" w:hAnsiTheme="minorHAnsi" w:cs="Arial"/>
                <w:color w:val="04326C"/>
                <w:sz w:val="20"/>
              </w:rPr>
              <w:t>-Oak Grove Elementary</w:t>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K-12 Partner</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22705 Sanborn, Aliso Viejo, CA 92656</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Saddleback Valley Unified School District District</w:t>
            </w:r>
            <w:r>
              <w:rPr>
                <w:rFonts w:asciiTheme="minorHAnsi" w:hAnsiTheme="minorHAnsi" w:cs="Arial"/>
                <w:color w:val="04326C"/>
                <w:sz w:val="20"/>
              </w:rPr>
              <w:fldChar w:fldCharType="end"/>
            </w:r>
            <w:r w:rsidR="00C71603">
              <w:rPr>
                <w:rFonts w:asciiTheme="minorHAnsi" w:hAnsiTheme="minorHAnsi" w:cs="Arial"/>
                <w:color w:val="04326C"/>
                <w:sz w:val="20"/>
              </w:rPr>
              <w:t>- Silverado High School</w:t>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K-12 Partner</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25632 Peter A Hartman Way, Mission Viejo, CA 92691</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Vocational Visions</w:t>
            </w:r>
            <w:r>
              <w:rPr>
                <w:rFonts w:asciiTheme="minorHAnsi" w:hAnsiTheme="minorHAnsi" w:cs="Arial"/>
                <w:color w:val="04326C"/>
                <w:sz w:val="20"/>
              </w:rPr>
              <w:fldChar w:fldCharType="end"/>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Campus Host Site</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26041 Pala, Mission Viejo, CA 92691</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Family Resource Center</w:t>
            </w:r>
            <w:r>
              <w:rPr>
                <w:rFonts w:asciiTheme="minorHAnsi" w:hAnsiTheme="minorHAnsi" w:cs="Arial"/>
                <w:color w:val="04326C"/>
                <w:sz w:val="20"/>
              </w:rPr>
              <w:fldChar w:fldCharType="end"/>
            </w:r>
          </w:p>
        </w:tc>
        <w:tc>
          <w:tcPr>
            <w:tcW w:w="1665"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Campus Host Site</w:t>
            </w:r>
            <w:r>
              <w:rPr>
                <w:rFonts w:asciiTheme="minorHAnsi" w:hAnsiTheme="minorHAnsi" w:cs="Arial"/>
                <w:color w:val="04326C"/>
                <w:sz w:val="20"/>
              </w:rPr>
              <w:fldChar w:fldCharType="end"/>
            </w:r>
          </w:p>
        </w:tc>
        <w:tc>
          <w:tcPr>
            <w:tcW w:w="2254" w:type="dxa"/>
            <w:shd w:val="clear" w:color="auto" w:fill="auto"/>
            <w:vAlign w:val="center"/>
          </w:tcPr>
          <w:p w:rsidR="00140BD8" w:rsidRDefault="00140BD8" w:rsidP="00140BD8">
            <w:pPr>
              <w:spacing w:after="0" w:line="240" w:lineRule="auto"/>
              <w:rPr>
                <w:rFonts w:asciiTheme="minorHAnsi" w:eastAsia="Times New Roman" w:hAnsiTheme="minorHAnsi" w:cstheme="majorHAnsi"/>
                <w:color w:val="04326C"/>
                <w:sz w:val="20"/>
                <w:szCs w:val="20"/>
              </w:rPr>
            </w:pPr>
            <w:r>
              <w:rPr>
                <w:rFonts w:asciiTheme="minorHAnsi" w:hAnsiTheme="minorHAnsi" w:cs="Arial"/>
                <w:color w:val="04326C"/>
                <w:sz w:val="20"/>
              </w:rPr>
              <w:fldChar w:fldCharType="begin">
                <w:ffData>
                  <w:name w:val="txt2_1"/>
                  <w:enabled/>
                  <w:calcOnExit w:val="0"/>
                  <w:textInput/>
                </w:ffData>
              </w:fldChar>
            </w:r>
            <w:r>
              <w:rPr>
                <w:rFonts w:asciiTheme="minorHAnsi" w:hAnsiTheme="minorHAnsi" w:cs="Arial"/>
                <w:color w:val="04326C"/>
                <w:sz w:val="20"/>
              </w:rPr>
              <w:instrText xml:space="preserve"> FORMTEXT </w:instrText>
            </w:r>
            <w:r>
              <w:rPr>
                <w:rFonts w:asciiTheme="minorHAnsi" w:hAnsiTheme="minorHAnsi" w:cs="Arial"/>
                <w:color w:val="04326C"/>
                <w:sz w:val="20"/>
              </w:rPr>
            </w:r>
            <w:r>
              <w:rPr>
                <w:rFonts w:asciiTheme="minorHAnsi" w:hAnsiTheme="minorHAnsi" w:cs="Arial"/>
                <w:color w:val="04326C"/>
                <w:sz w:val="20"/>
              </w:rPr>
              <w:fldChar w:fldCharType="separate"/>
            </w:r>
            <w:r>
              <w:rPr>
                <w:rFonts w:asciiTheme="minorHAnsi" w:hAnsiTheme="minorHAnsi" w:cs="Arial"/>
                <w:noProof/>
                <w:color w:val="04326C"/>
                <w:sz w:val="20"/>
              </w:rPr>
              <w:t>22481 Aspan St, Lake Forest, CA 92630</w:t>
            </w:r>
            <w:r>
              <w:rPr>
                <w:rFonts w:asciiTheme="minorHAnsi" w:hAnsiTheme="minorHAnsi" w:cs="Arial"/>
                <w:color w:val="04326C"/>
                <w:sz w:val="20"/>
              </w:rPr>
              <w:fldChar w:fldCharType="end"/>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140BD8" w:rsidTr="005E61E9">
        <w:trPr>
          <w:trHeight w:val="360"/>
        </w:trPr>
        <w:tc>
          <w:tcPr>
            <w:tcW w:w="3195" w:type="dxa"/>
            <w:shd w:val="clear" w:color="auto" w:fill="auto"/>
            <w:vAlign w:val="center"/>
          </w:tcPr>
          <w:p w:rsidR="00140BD8" w:rsidRDefault="004443EF" w:rsidP="00140BD8">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52 Dental Internship Sites</w:t>
            </w:r>
          </w:p>
        </w:tc>
        <w:tc>
          <w:tcPr>
            <w:tcW w:w="1665" w:type="dxa"/>
            <w:shd w:val="clear" w:color="auto" w:fill="auto"/>
            <w:vAlign w:val="center"/>
          </w:tcPr>
          <w:p w:rsidR="00140BD8" w:rsidRDefault="004443EF" w:rsidP="00140BD8">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Industry</w:t>
            </w:r>
          </w:p>
        </w:tc>
        <w:tc>
          <w:tcPr>
            <w:tcW w:w="2254" w:type="dxa"/>
            <w:shd w:val="clear" w:color="auto" w:fill="auto"/>
            <w:vAlign w:val="center"/>
          </w:tcPr>
          <w:p w:rsidR="00140BD8" w:rsidRDefault="004443EF" w:rsidP="00140BD8">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Various South Orange County Cities</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4443EF"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140BD8" w:rsidRDefault="00140BD8" w:rsidP="00140BD8">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140BD8" w:rsidRDefault="00140BD8" w:rsidP="00140BD8">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4443EF" w:rsidTr="005E61E9">
        <w:trPr>
          <w:trHeight w:val="360"/>
        </w:trPr>
        <w:tc>
          <w:tcPr>
            <w:tcW w:w="3195"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11 Surgical Internship Sites</w:t>
            </w:r>
          </w:p>
        </w:tc>
        <w:tc>
          <w:tcPr>
            <w:tcW w:w="1665"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Industry</w:t>
            </w:r>
          </w:p>
        </w:tc>
        <w:tc>
          <w:tcPr>
            <w:tcW w:w="2254"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Various South Orange County Cities</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X</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Segoe UI Symbol" w:eastAsia="Calibri" w:hAnsi="Segoe UI Symbol" w:cs="Segoe UI Symbol"/>
                <w:color w:val="04326C"/>
                <w:sz w:val="20"/>
                <w:szCs w:val="20"/>
              </w:rPr>
              <w:t>☐</w:t>
            </w:r>
          </w:p>
        </w:tc>
        <w:tc>
          <w:tcPr>
            <w:tcW w:w="3011"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4443EF" w:rsidTr="005E61E9">
        <w:trPr>
          <w:trHeight w:val="360"/>
        </w:trPr>
        <w:tc>
          <w:tcPr>
            <w:tcW w:w="3195"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8 Pharmacy Internship Sites</w:t>
            </w:r>
          </w:p>
        </w:tc>
        <w:tc>
          <w:tcPr>
            <w:tcW w:w="1665"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Industry</w:t>
            </w:r>
          </w:p>
        </w:tc>
        <w:tc>
          <w:tcPr>
            <w:tcW w:w="2254" w:type="dxa"/>
            <w:shd w:val="clear" w:color="auto" w:fill="auto"/>
            <w:vAlign w:val="center"/>
          </w:tcPr>
          <w:p w:rsidR="004443EF" w:rsidRDefault="004443EF" w:rsidP="004443EF">
            <w:pPr>
              <w:spacing w:after="0" w:line="240" w:lineRule="auto"/>
              <w:rPr>
                <w:rFonts w:asciiTheme="minorHAnsi" w:eastAsia="Times New Roman" w:hAnsiTheme="minorHAnsi" w:cstheme="majorHAnsi"/>
                <w:color w:val="04326C"/>
                <w:sz w:val="20"/>
                <w:szCs w:val="20"/>
              </w:rPr>
            </w:pPr>
            <w:r>
              <w:rPr>
                <w:rFonts w:asciiTheme="minorHAnsi" w:eastAsia="Times New Roman" w:hAnsiTheme="minorHAnsi" w:cstheme="majorHAnsi"/>
                <w:color w:val="04326C"/>
                <w:sz w:val="20"/>
                <w:szCs w:val="20"/>
              </w:rPr>
              <w:t>Various South Orange County Cities</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4443EF" w:rsidTr="005E61E9">
        <w:trPr>
          <w:trHeight w:val="360"/>
        </w:trPr>
        <w:tc>
          <w:tcPr>
            <w:tcW w:w="3195" w:type="dxa"/>
            <w:shd w:val="clear" w:color="auto" w:fill="auto"/>
            <w:vAlign w:val="center"/>
          </w:tcPr>
          <w:p w:rsidR="004443EF" w:rsidRDefault="00ED3E85"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Orange County Rescue Mission</w:t>
            </w:r>
          </w:p>
        </w:tc>
        <w:tc>
          <w:tcPr>
            <w:tcW w:w="1665" w:type="dxa"/>
            <w:shd w:val="clear" w:color="auto" w:fill="auto"/>
            <w:vAlign w:val="center"/>
          </w:tcPr>
          <w:p w:rsidR="004443EF" w:rsidRDefault="00ED3E85"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w:t>
            </w:r>
          </w:p>
        </w:tc>
        <w:tc>
          <w:tcPr>
            <w:tcW w:w="2254" w:type="dxa"/>
            <w:shd w:val="clear" w:color="auto" w:fill="auto"/>
            <w:vAlign w:val="center"/>
          </w:tcPr>
          <w:p w:rsidR="004443EF" w:rsidRDefault="00ED3E85"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 Hope Drive, Tustin, CA 92782</w:t>
            </w:r>
          </w:p>
        </w:tc>
        <w:tc>
          <w:tcPr>
            <w:tcW w:w="533" w:type="dxa"/>
            <w:shd w:val="clear" w:color="auto" w:fill="auto"/>
            <w:vAlign w:val="center"/>
          </w:tcPr>
          <w:p w:rsidR="004443EF" w:rsidRDefault="00ED3E85"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ED3E85"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C71603" w:rsidP="00ED3E85">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4443EF" w:rsidRDefault="004443EF" w:rsidP="004443EF">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4443EF" w:rsidRDefault="004443EF" w:rsidP="004443EF">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One Stop</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  17891 Cartwright Road #100, Irvine, CA  92614  </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lastRenderedPageBreak/>
              <w:t>Orange County Development Board</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1300 S. Grand Ave, Building B, Santa Ana, CA 92705</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Drug Court</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909 N. Main Street, Santa Ana, CA 92701   </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w:t>
            </w: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r>
      <w:tr w:rsidR="00C71603" w:rsidTr="005E61E9">
        <w:trPr>
          <w:trHeight w:val="360"/>
        </w:trPr>
        <w:tc>
          <w:tcPr>
            <w:tcW w:w="319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15 Drug Rehab Centers</w:t>
            </w:r>
          </w:p>
        </w:tc>
        <w:tc>
          <w:tcPr>
            <w:tcW w:w="1665"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Community Partner      </w:t>
            </w:r>
          </w:p>
        </w:tc>
        <w:tc>
          <w:tcPr>
            <w:tcW w:w="2254"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Orange County</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X</w:t>
            </w: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533" w:type="dxa"/>
            <w:shd w:val="clear" w:color="auto" w:fill="auto"/>
            <w:vAlign w:val="center"/>
          </w:tcPr>
          <w:p w:rsidR="00C71603" w:rsidRDefault="00C71603" w:rsidP="00C71603">
            <w:pPr>
              <w:spacing w:after="0" w:line="240" w:lineRule="auto"/>
              <w:jc w:val="center"/>
              <w:rPr>
                <w:rFonts w:ascii="Calibri" w:eastAsia="Calibri" w:hAnsi="Calibri" w:cs="Calibri"/>
                <w:color w:val="04326C"/>
                <w:sz w:val="20"/>
                <w:szCs w:val="20"/>
              </w:rPr>
            </w:pPr>
          </w:p>
        </w:tc>
        <w:tc>
          <w:tcPr>
            <w:tcW w:w="3011" w:type="dxa"/>
            <w:shd w:val="clear" w:color="auto" w:fill="auto"/>
            <w:vAlign w:val="center"/>
          </w:tcPr>
          <w:p w:rsidR="00C71603" w:rsidRDefault="00C71603" w:rsidP="00C71603">
            <w:pPr>
              <w:spacing w:after="0" w:line="240" w:lineRule="auto"/>
              <w:rPr>
                <w:rFonts w:ascii="Calibri" w:eastAsia="Calibri" w:hAnsi="Calibri" w:cs="Calibri"/>
                <w:color w:val="04326C"/>
                <w:sz w:val="20"/>
                <w:szCs w:val="20"/>
              </w:rPr>
            </w:pPr>
          </w:p>
        </w:tc>
      </w:tr>
    </w:tbl>
    <w:p w:rsidR="00C37EAC" w:rsidRDefault="00C37EAC">
      <w:pPr>
        <w:widowControl w:val="0"/>
        <w:pBdr>
          <w:top w:val="nil"/>
          <w:left w:val="nil"/>
          <w:bottom w:val="nil"/>
          <w:right w:val="nil"/>
          <w:between w:val="nil"/>
        </w:pBdr>
        <w:spacing w:after="0"/>
        <w:rPr>
          <w:sz w:val="32"/>
          <w:szCs w:val="32"/>
        </w:rPr>
        <w:sectPr w:rsidR="00C37EAC" w:rsidSect="005E61E9">
          <w:pgSz w:w="15840" w:h="12240" w:orient="landscape"/>
          <w:pgMar w:top="1440" w:right="1739" w:bottom="1440" w:left="1440" w:header="720" w:footer="720" w:gutter="0"/>
          <w:cols w:space="720"/>
          <w:docGrid w:linePitch="299"/>
        </w:sectPr>
      </w:pPr>
    </w:p>
    <w:p w:rsidR="00C37EAC" w:rsidRDefault="00C85CD3">
      <w:pPr>
        <w:pStyle w:val="Heading3"/>
      </w:pPr>
      <w:bookmarkStart w:id="11" w:name="_17dp8vu" w:colFirst="0" w:colLast="0"/>
      <w:bookmarkEnd w:id="11"/>
      <w:r>
        <w:lastRenderedPageBreak/>
        <w:t>Table 2. Funding for Adult Education Programs and Services</w:t>
      </w:r>
    </w:p>
    <w:tbl>
      <w:tblPr>
        <w:tblStyle w:val="a0"/>
        <w:tblW w:w="9540" w:type="dxa"/>
        <w:tblLayout w:type="fixed"/>
        <w:tblLook w:val="0400" w:firstRow="0" w:lastRow="0" w:firstColumn="0" w:lastColumn="0" w:noHBand="0" w:noVBand="1"/>
      </w:tblPr>
      <w:tblGrid>
        <w:gridCol w:w="3420"/>
        <w:gridCol w:w="2040"/>
        <w:gridCol w:w="2040"/>
        <w:gridCol w:w="2040"/>
      </w:tblGrid>
      <w:tr w:rsidR="00C37EAC">
        <w:trPr>
          <w:trHeight w:val="700"/>
        </w:trPr>
        <w:tc>
          <w:tcPr>
            <w:tcW w:w="342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bookmarkStart w:id="12" w:name="_3rdcrjn" w:colFirst="0" w:colLast="0"/>
            <w:bookmarkEnd w:id="12"/>
            <w:r>
              <w:rPr>
                <w:b/>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auto" w:fill="073763"/>
            <w:vAlign w:val="center"/>
          </w:tcPr>
          <w:p w:rsidR="00C37EAC" w:rsidRDefault="00C85CD3">
            <w:pPr>
              <w:spacing w:after="0" w:line="240" w:lineRule="auto"/>
              <w:jc w:val="center"/>
              <w:rPr>
                <w:b/>
                <w:color w:val="FFFFFF"/>
                <w:sz w:val="20"/>
                <w:szCs w:val="20"/>
              </w:rPr>
            </w:pPr>
            <w:r>
              <w:rPr>
                <w:b/>
                <w:color w:val="FFFFFF"/>
                <w:sz w:val="20"/>
                <w:szCs w:val="20"/>
              </w:rPr>
              <w:t>Funding Estimates FY2021-22</w:t>
            </w:r>
          </w:p>
        </w:tc>
      </w:tr>
      <w:tr w:rsidR="00C37EAC">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C37EAC" w:rsidRDefault="00C85CD3">
            <w:pPr>
              <w:spacing w:after="0" w:line="240" w:lineRule="auto"/>
              <w:rPr>
                <w:b/>
                <w:color w:val="000000"/>
                <w:sz w:val="20"/>
                <w:szCs w:val="20"/>
              </w:rPr>
            </w:pPr>
            <w:r>
              <w:rPr>
                <w:b/>
                <w:color w:val="000000"/>
                <w:sz w:val="20"/>
                <w:szCs w:val="20"/>
              </w:rPr>
              <w:t>State / Federal Funding</w:t>
            </w:r>
          </w:p>
        </w:tc>
        <w:tc>
          <w:tcPr>
            <w:tcW w:w="2040" w:type="dxa"/>
            <w:tcBorders>
              <w:top w:val="single" w:sz="4" w:space="0" w:color="999999"/>
              <w:left w:val="nil"/>
              <w:bottom w:val="single" w:sz="4" w:space="0" w:color="999999"/>
              <w:right w:val="nil"/>
            </w:tcBorders>
            <w:shd w:val="clear" w:color="auto" w:fill="C0C0C0"/>
            <w:vAlign w:val="center"/>
          </w:tcPr>
          <w:p w:rsidR="00C37EAC" w:rsidRDefault="00C85CD3">
            <w:pPr>
              <w:spacing w:after="0" w:line="240" w:lineRule="auto"/>
              <w:jc w:val="center"/>
              <w:rPr>
                <w:b/>
                <w:color w:val="000000"/>
                <w:sz w:val="20"/>
                <w:szCs w:val="20"/>
              </w:rPr>
            </w:pPr>
            <w:r>
              <w:rPr>
                <w:b/>
                <w:color w:val="000000"/>
                <w:sz w:val="20"/>
                <w:szCs w:val="20"/>
              </w:rPr>
              <w:t> </w:t>
            </w:r>
          </w:p>
        </w:tc>
        <w:tc>
          <w:tcPr>
            <w:tcW w:w="2040" w:type="dxa"/>
            <w:tcBorders>
              <w:top w:val="single" w:sz="4" w:space="0" w:color="999999"/>
              <w:left w:val="nil"/>
              <w:bottom w:val="single" w:sz="4" w:space="0" w:color="999999"/>
              <w:right w:val="nil"/>
            </w:tcBorders>
            <w:shd w:val="clear" w:color="auto" w:fill="C0C0C0"/>
            <w:vAlign w:val="center"/>
          </w:tcPr>
          <w:p w:rsidR="00C37EAC" w:rsidRDefault="00C85CD3">
            <w:pPr>
              <w:spacing w:after="0" w:line="240" w:lineRule="auto"/>
              <w:jc w:val="center"/>
              <w:rPr>
                <w:b/>
                <w:color w:val="000000"/>
                <w:sz w:val="20"/>
                <w:szCs w:val="20"/>
              </w:rPr>
            </w:pPr>
            <w:r>
              <w:rPr>
                <w:b/>
                <w:color w:val="000000"/>
                <w:sz w:val="20"/>
                <w:szCs w:val="20"/>
              </w:rPr>
              <w:t> </w:t>
            </w:r>
          </w:p>
        </w:tc>
        <w:tc>
          <w:tcPr>
            <w:tcW w:w="2040" w:type="dxa"/>
            <w:tcBorders>
              <w:top w:val="single" w:sz="4" w:space="0" w:color="999999"/>
              <w:left w:val="nil"/>
              <w:bottom w:val="single" w:sz="4" w:space="0" w:color="999999"/>
              <w:right w:val="single" w:sz="4" w:space="0" w:color="999999"/>
            </w:tcBorders>
            <w:shd w:val="clear" w:color="auto" w:fill="C0C0C0"/>
            <w:vAlign w:val="center"/>
          </w:tcPr>
          <w:p w:rsidR="00C37EAC" w:rsidRDefault="00C85CD3">
            <w:pPr>
              <w:spacing w:after="0" w:line="240" w:lineRule="auto"/>
              <w:jc w:val="center"/>
              <w:rPr>
                <w:b/>
                <w:color w:val="000000"/>
                <w:sz w:val="20"/>
                <w:szCs w:val="20"/>
              </w:rPr>
            </w:pPr>
            <w:r>
              <w:rPr>
                <w:b/>
                <w:color w:val="000000"/>
                <w:sz w:val="20"/>
                <w:szCs w:val="20"/>
              </w:rPr>
              <w:t> </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AEP</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bookmarkStart w:id="13" w:name="26in1rg" w:colFirst="0" w:colLast="0"/>
            <w:bookmarkEnd w:id="13"/>
            <w:r>
              <w:rPr>
                <w:rFonts w:ascii="Calibri" w:eastAsia="Calibri" w:hAnsi="Calibri" w:cs="Calibri"/>
                <w:color w:val="04326C"/>
                <w:sz w:val="20"/>
                <w:szCs w:val="20"/>
              </w:rPr>
              <w:t>$4,932,352</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$5,093,147</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$5,259,184</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CalWORKs</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$28,510</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$28,000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$28,000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CCD Apportionment</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Corrections</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LCFF / District Funds</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Perkins V</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b/>
                <w:color w:val="000000"/>
                <w:sz w:val="20"/>
                <w:szCs w:val="20"/>
              </w:rPr>
            </w:pPr>
            <w:r>
              <w:rPr>
                <w:b/>
                <w:color w:val="000000"/>
                <w:sz w:val="20"/>
                <w:szCs w:val="20"/>
              </w:rPr>
              <w:t>WIOA II</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$348,540</w:t>
            </w:r>
          </w:p>
        </w:tc>
        <w:tc>
          <w:tcPr>
            <w:tcW w:w="2040" w:type="dxa"/>
            <w:tcBorders>
              <w:top w:val="nil"/>
              <w:left w:val="nil"/>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$400,000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140BD8">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$450,000</w:t>
            </w:r>
          </w:p>
        </w:tc>
      </w:tr>
      <w:tr w:rsidR="00C37EAC">
        <w:trPr>
          <w:trHeight w:val="500"/>
        </w:trPr>
        <w:tc>
          <w:tcPr>
            <w:tcW w:w="3420" w:type="dxa"/>
            <w:tcBorders>
              <w:top w:val="single" w:sz="4" w:space="0" w:color="999999"/>
              <w:left w:val="single" w:sz="4" w:space="0" w:color="999999"/>
              <w:bottom w:val="single" w:sz="4" w:space="0" w:color="999999"/>
              <w:right w:val="nil"/>
            </w:tcBorders>
            <w:shd w:val="clear" w:color="auto" w:fill="C0C0C0"/>
            <w:vAlign w:val="center"/>
          </w:tcPr>
          <w:p w:rsidR="00C37EAC" w:rsidRDefault="00C85CD3">
            <w:pPr>
              <w:spacing w:after="0" w:line="240" w:lineRule="auto"/>
              <w:rPr>
                <w:b/>
                <w:color w:val="000000"/>
                <w:sz w:val="20"/>
                <w:szCs w:val="20"/>
              </w:rPr>
            </w:pPr>
            <w:r>
              <w:rPr>
                <w:b/>
                <w:color w:val="000000"/>
                <w:sz w:val="20"/>
                <w:szCs w:val="20"/>
              </w:rPr>
              <w:t>Other</w:t>
            </w:r>
          </w:p>
        </w:tc>
        <w:tc>
          <w:tcPr>
            <w:tcW w:w="2040" w:type="dxa"/>
            <w:tcBorders>
              <w:top w:val="nil"/>
              <w:left w:val="nil"/>
              <w:bottom w:val="single" w:sz="4" w:space="0" w:color="999999"/>
              <w:right w:val="nil"/>
            </w:tcBorders>
            <w:shd w:val="clear" w:color="auto" w:fill="C0C0C0"/>
            <w:vAlign w:val="center"/>
          </w:tcPr>
          <w:p w:rsidR="00C37EAC" w:rsidRDefault="00C85CD3">
            <w:pPr>
              <w:spacing w:after="0" w:line="240" w:lineRule="auto"/>
              <w:jc w:val="right"/>
              <w:rPr>
                <w:rFonts w:ascii="Calibri" w:eastAsia="Calibri" w:hAnsi="Calibri" w:cs="Calibri"/>
                <w:b/>
                <w:color w:val="BFBFBF"/>
                <w:sz w:val="20"/>
                <w:szCs w:val="20"/>
              </w:rPr>
            </w:pPr>
            <w:r>
              <w:rPr>
                <w:rFonts w:ascii="Calibri" w:eastAsia="Calibri" w:hAnsi="Calibri" w:cs="Calibri"/>
                <w:b/>
                <w:color w:val="BFBFBF"/>
                <w:sz w:val="20"/>
                <w:szCs w:val="20"/>
              </w:rPr>
              <w:t>$0</w:t>
            </w:r>
          </w:p>
        </w:tc>
        <w:tc>
          <w:tcPr>
            <w:tcW w:w="2040" w:type="dxa"/>
            <w:tcBorders>
              <w:top w:val="nil"/>
              <w:left w:val="nil"/>
              <w:bottom w:val="single" w:sz="4" w:space="0" w:color="999999"/>
              <w:right w:val="nil"/>
            </w:tcBorders>
            <w:shd w:val="clear" w:color="auto" w:fill="C0C0C0"/>
            <w:vAlign w:val="center"/>
          </w:tcPr>
          <w:p w:rsidR="00C37EAC" w:rsidRDefault="00C85CD3">
            <w:pPr>
              <w:spacing w:after="0" w:line="240" w:lineRule="auto"/>
              <w:jc w:val="right"/>
              <w:rPr>
                <w:rFonts w:ascii="Calibri" w:eastAsia="Calibri" w:hAnsi="Calibri" w:cs="Calibri"/>
                <w:b/>
                <w:color w:val="BFBFBF"/>
                <w:sz w:val="20"/>
                <w:szCs w:val="20"/>
              </w:rPr>
            </w:pPr>
            <w:r>
              <w:rPr>
                <w:rFonts w:ascii="Calibri" w:eastAsia="Calibri" w:hAnsi="Calibri" w:cs="Calibri"/>
                <w:b/>
                <w:color w:val="BFBFBF"/>
                <w:sz w:val="20"/>
                <w:szCs w:val="20"/>
              </w:rPr>
              <w:t>$0</w:t>
            </w:r>
          </w:p>
        </w:tc>
        <w:tc>
          <w:tcPr>
            <w:tcW w:w="2040" w:type="dxa"/>
            <w:tcBorders>
              <w:top w:val="single" w:sz="4" w:space="0" w:color="999999"/>
              <w:left w:val="nil"/>
              <w:bottom w:val="single" w:sz="4" w:space="0" w:color="999999"/>
              <w:right w:val="single" w:sz="4" w:space="0" w:color="999999"/>
            </w:tcBorders>
            <w:shd w:val="clear" w:color="auto" w:fill="C0C0C0"/>
            <w:vAlign w:val="center"/>
          </w:tcPr>
          <w:p w:rsidR="00C37EAC" w:rsidRDefault="00C85CD3">
            <w:pPr>
              <w:spacing w:after="0" w:line="240" w:lineRule="auto"/>
              <w:jc w:val="right"/>
              <w:rPr>
                <w:rFonts w:ascii="Calibri" w:eastAsia="Calibri" w:hAnsi="Calibri" w:cs="Calibri"/>
                <w:b/>
                <w:color w:val="BFBFBF"/>
                <w:sz w:val="20"/>
                <w:szCs w:val="20"/>
              </w:rPr>
            </w:pPr>
            <w:r>
              <w:rPr>
                <w:rFonts w:ascii="Calibri" w:eastAsia="Calibri" w:hAnsi="Calibri" w:cs="Calibri"/>
                <w:b/>
                <w:color w:val="BFBFBF"/>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bookmarkStart w:id="14" w:name="lnxbz9" w:colFirst="0" w:colLast="0"/>
            <w:bookmarkEnd w:id="14"/>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rPr>
                <w:rFonts w:ascii="Calibri" w:eastAsia="Calibri" w:hAnsi="Calibri" w:cs="Calibri"/>
                <w:color w:val="04326C"/>
                <w:sz w:val="20"/>
                <w:szCs w:val="20"/>
              </w:rPr>
            </w:pPr>
            <w:r>
              <w:rPr>
                <w:rFonts w:ascii="Calibri" w:eastAsia="Calibri" w:hAnsi="Calibri" w:cs="Calibri"/>
                <w:color w:val="04326C"/>
                <w:sz w:val="20"/>
                <w:szCs w:val="20"/>
              </w:rPr>
              <w:t>     </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nil"/>
              <w:left w:val="nil"/>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c>
          <w:tcPr>
            <w:tcW w:w="2040" w:type="dxa"/>
            <w:tcBorders>
              <w:top w:val="single" w:sz="4" w:space="0" w:color="999999"/>
              <w:left w:val="single" w:sz="4" w:space="0" w:color="999999"/>
              <w:bottom w:val="single" w:sz="4" w:space="0" w:color="999999"/>
              <w:right w:val="single" w:sz="4" w:space="0" w:color="999999"/>
            </w:tcBorders>
            <w:shd w:val="clear" w:color="auto" w:fill="auto"/>
            <w:vAlign w:val="center"/>
          </w:tcPr>
          <w:p w:rsidR="00C37EAC" w:rsidRDefault="00C85CD3">
            <w:pPr>
              <w:spacing w:after="0" w:line="240" w:lineRule="auto"/>
              <w:jc w:val="right"/>
              <w:rPr>
                <w:rFonts w:ascii="Calibri" w:eastAsia="Calibri" w:hAnsi="Calibri" w:cs="Calibri"/>
                <w:color w:val="04326C"/>
                <w:sz w:val="20"/>
                <w:szCs w:val="20"/>
              </w:rPr>
            </w:pPr>
            <w:r>
              <w:rPr>
                <w:rFonts w:ascii="Calibri" w:eastAsia="Calibri" w:hAnsi="Calibri" w:cs="Calibri"/>
                <w:color w:val="04326C"/>
                <w:sz w:val="20"/>
                <w:szCs w:val="20"/>
              </w:rPr>
              <w:t>$0</w:t>
            </w:r>
          </w:p>
        </w:tc>
      </w:tr>
      <w:tr w:rsidR="00C37EAC">
        <w:trPr>
          <w:trHeight w:val="500"/>
        </w:trPr>
        <w:tc>
          <w:tcPr>
            <w:tcW w:w="342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C85CD3">
            <w:pPr>
              <w:spacing w:after="0" w:line="240" w:lineRule="auto"/>
              <w:rPr>
                <w:b/>
                <w:color w:val="FFFFFF"/>
                <w:sz w:val="20"/>
                <w:szCs w:val="20"/>
              </w:rPr>
            </w:pPr>
            <w:r>
              <w:rPr>
                <w:b/>
                <w:color w:val="FFFFFF"/>
                <w:sz w:val="20"/>
                <w:szCs w:val="20"/>
              </w:rPr>
              <w:t>Total</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ED3E85">
            <w:pPr>
              <w:spacing w:after="0" w:line="240" w:lineRule="auto"/>
              <w:jc w:val="right"/>
              <w:rPr>
                <w:rFonts w:ascii="Calibri" w:eastAsia="Calibri" w:hAnsi="Calibri" w:cs="Calibri"/>
                <w:b/>
                <w:color w:val="FFFFFF"/>
                <w:sz w:val="20"/>
                <w:szCs w:val="20"/>
              </w:rPr>
            </w:pPr>
            <w:bookmarkStart w:id="15" w:name="35nkun2" w:colFirst="0" w:colLast="0"/>
            <w:bookmarkEnd w:id="15"/>
            <w:r>
              <w:rPr>
                <w:rFonts w:ascii="Calibri" w:eastAsia="Calibri" w:hAnsi="Calibri" w:cs="Calibri"/>
                <w:b/>
                <w:color w:val="FFFFFF"/>
                <w:sz w:val="20"/>
                <w:szCs w:val="20"/>
              </w:rPr>
              <w:t>$5,309,402</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ED3E85">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$5,521,147</w:t>
            </w:r>
          </w:p>
        </w:tc>
        <w:tc>
          <w:tcPr>
            <w:tcW w:w="2040" w:type="dxa"/>
            <w:tcBorders>
              <w:top w:val="single" w:sz="6" w:space="0" w:color="000000"/>
              <w:left w:val="single" w:sz="4" w:space="0" w:color="999999"/>
              <w:bottom w:val="single" w:sz="4" w:space="0" w:color="999999"/>
              <w:right w:val="single" w:sz="4" w:space="0" w:color="999999"/>
            </w:tcBorders>
            <w:shd w:val="clear" w:color="auto" w:fill="073763"/>
            <w:vAlign w:val="center"/>
          </w:tcPr>
          <w:p w:rsidR="00C37EAC" w:rsidRDefault="00ED3E85">
            <w:pPr>
              <w:spacing w:after="0" w:line="240" w:lineRule="auto"/>
              <w:jc w:val="right"/>
              <w:rPr>
                <w:rFonts w:ascii="Calibri" w:eastAsia="Calibri" w:hAnsi="Calibri" w:cs="Calibri"/>
                <w:b/>
                <w:color w:val="FFFFFF"/>
                <w:sz w:val="20"/>
                <w:szCs w:val="20"/>
              </w:rPr>
            </w:pPr>
            <w:r>
              <w:rPr>
                <w:rFonts w:ascii="Calibri" w:eastAsia="Calibri" w:hAnsi="Calibri" w:cs="Calibri"/>
                <w:b/>
                <w:color w:val="FFFFFF"/>
                <w:sz w:val="20"/>
                <w:szCs w:val="20"/>
              </w:rPr>
              <w:t>$5,737,184</w:t>
            </w:r>
          </w:p>
        </w:tc>
      </w:tr>
    </w:tbl>
    <w:p w:rsidR="00C37EAC" w:rsidRDefault="00C37EAC">
      <w:pPr>
        <w:pStyle w:val="Heading2"/>
        <w:pBdr>
          <w:bottom w:val="none" w:sz="0" w:space="0" w:color="000000"/>
        </w:pBdr>
      </w:pPr>
      <w:bookmarkStart w:id="16" w:name="_1ksv4uv" w:colFirst="0" w:colLast="0"/>
      <w:bookmarkEnd w:id="16"/>
    </w:p>
    <w:p w:rsidR="00C37EAC" w:rsidRDefault="00C85CD3">
      <w:pPr>
        <w:spacing w:after="0" w:line="240" w:lineRule="auto"/>
        <w:rPr>
          <w:sz w:val="32"/>
          <w:szCs w:val="32"/>
          <w:u w:val="single"/>
        </w:rPr>
      </w:pPr>
      <w:r>
        <w:br w:type="page"/>
      </w:r>
    </w:p>
    <w:p w:rsidR="00C37EAC" w:rsidRDefault="00C85CD3">
      <w:pPr>
        <w:pStyle w:val="Heading2"/>
      </w:pPr>
      <w:bookmarkStart w:id="17" w:name="_44sinio" w:colFirst="0" w:colLast="0"/>
      <w:bookmarkEnd w:id="17"/>
      <w:r>
        <w:lastRenderedPageBreak/>
        <w:t>2.3 Community Need and Customers</w:t>
      </w: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 xml:space="preserve">The South Orange County Regional Consortium serves a diverse and expansive community.  </w:t>
      </w:r>
      <w:proofErr w:type="gramStart"/>
      <w:r w:rsidRPr="001D529A">
        <w:rPr>
          <w:rFonts w:asciiTheme="majorHAnsi" w:eastAsia="Calibri" w:hAnsiTheme="majorHAnsi" w:cstheme="majorHAnsi"/>
          <w:color w:val="000000"/>
        </w:rPr>
        <w:t xml:space="preserve">The regional community consists of 26 cities and communities including: Aliso Viejo, Capistrano Beach, </w:t>
      </w:r>
      <w:proofErr w:type="spellStart"/>
      <w:r w:rsidRPr="001D529A">
        <w:rPr>
          <w:rFonts w:asciiTheme="majorHAnsi" w:eastAsia="Calibri" w:hAnsiTheme="majorHAnsi" w:cstheme="majorHAnsi"/>
          <w:color w:val="000000"/>
        </w:rPr>
        <w:t>Coto</w:t>
      </w:r>
      <w:proofErr w:type="spellEnd"/>
      <w:r w:rsidRPr="001D529A">
        <w:rPr>
          <w:rFonts w:asciiTheme="majorHAnsi" w:eastAsia="Calibri" w:hAnsiTheme="majorHAnsi" w:cstheme="majorHAnsi"/>
          <w:color w:val="000000"/>
        </w:rPr>
        <w:t xml:space="preserve"> De </w:t>
      </w:r>
      <w:proofErr w:type="spellStart"/>
      <w:r w:rsidRPr="001D529A">
        <w:rPr>
          <w:rFonts w:asciiTheme="majorHAnsi" w:eastAsia="Calibri" w:hAnsiTheme="majorHAnsi" w:cstheme="majorHAnsi"/>
          <w:color w:val="000000"/>
        </w:rPr>
        <w:t>Caza</w:t>
      </w:r>
      <w:proofErr w:type="spellEnd"/>
      <w:r w:rsidRPr="001D529A">
        <w:rPr>
          <w:rFonts w:asciiTheme="majorHAnsi" w:eastAsia="Calibri" w:hAnsiTheme="majorHAnsi" w:cstheme="majorHAnsi"/>
          <w:color w:val="000000"/>
        </w:rPr>
        <w:t xml:space="preserve">, Dana Point, Dove Canyon, East Santa Ana, Emerald Bay, Foothill Ranch, Irvine, </w:t>
      </w:r>
      <w:proofErr w:type="spellStart"/>
      <w:r w:rsidRPr="001D529A">
        <w:rPr>
          <w:rFonts w:asciiTheme="majorHAnsi" w:eastAsia="Calibri" w:hAnsiTheme="majorHAnsi" w:cstheme="majorHAnsi"/>
          <w:color w:val="000000"/>
        </w:rPr>
        <w:t>Ladera</w:t>
      </w:r>
      <w:proofErr w:type="spellEnd"/>
      <w:r w:rsidRPr="001D529A">
        <w:rPr>
          <w:rFonts w:asciiTheme="majorHAnsi" w:eastAsia="Calibri" w:hAnsiTheme="majorHAnsi" w:cstheme="majorHAnsi"/>
          <w:color w:val="000000"/>
        </w:rPr>
        <w:t xml:space="preserve"> Ranch, Laguna Beach, Laguna Hills, Laguna Niguel, Laguna Woods, Lake Forest, Las Flores, Mission Viejo, Newport Beach, North Tustin, Portola Hills, Rancho Santa Margarita, San Clemente, San Juan Capistrano, Trabuco Canyon, Trabuco Highlands, Tustin.</w:t>
      </w:r>
      <w:proofErr w:type="gramEnd"/>
      <w:r w:rsidRPr="001D529A">
        <w:rPr>
          <w:rFonts w:asciiTheme="majorHAnsi" w:eastAsia="Calibri" w:hAnsiTheme="majorHAnsi" w:cstheme="majorHAnsi"/>
          <w:color w:val="000000"/>
        </w:rPr>
        <w:t xml:space="preserve">  Key information from the 2019 Orange County Workforce Indicators Report provides demographic and industry information on our regional community:</w:t>
      </w:r>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Median Age  is 37.9</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Irvine is the 3</w:t>
      </w:r>
      <w:r w:rsidRPr="001D529A">
        <w:rPr>
          <w:rFonts w:asciiTheme="majorHAnsi" w:eastAsia="Calibri" w:hAnsiTheme="majorHAnsi" w:cstheme="majorHAnsi"/>
          <w:color w:val="000000"/>
          <w:vertAlign w:val="superscript"/>
        </w:rPr>
        <w:t>rd</w:t>
      </w:r>
      <w:r w:rsidRPr="001D529A">
        <w:rPr>
          <w:rFonts w:asciiTheme="majorHAnsi" w:eastAsia="Calibri" w:hAnsiTheme="majorHAnsi" w:cstheme="majorHAnsi"/>
          <w:color w:val="000000"/>
        </w:rPr>
        <w:t xml:space="preserve"> largest population in OC with the most rapid population growth since 2010 at 3.4%</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Hispanic population is increasing, white population is decreasing</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Ethnicity = 40% White, 34% Hispanic, 20% Asian; minority majority</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15% do not have a high school diploma</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1.5% student dropout rate (vs LA @3.2% and State @2.4%) District rates: Tustin .2%, Laguna Beach .4%, Irvine .5%, Saddleback .6%, CUSD .8%, Newport Mesa 1.0%</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OC has the highest K-12 English Language Learner students at 23.5% vs 20.4% for State. District rates: Irvine 19.9%, Saddleback 17.4%, Tustin 17.1%, CUSD 9.4%, Laguna Beach 3.6%</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Key Industry Sectors: Healthcare (highest salary increase after completing a community college certificate program), Hospitality and Tourism, Information and Communication Technology, Energy-Construction-Utilities, Transportation and Logistics, Business and Entrepreneurship</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OC unemployment rate is 3.1% (vs LA 5.1%, State 4.3%, US 3.9%)</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Fastest growing occupations in OC (2014-2024)= Web Developers, Floor Layers, Operations Research Analysts, Tapers, Electrician Helpers, Home Health Aides (@ 40% growth – but low salaries), Painters-Construction-Maintenance, Drywall and Ceiling Tile Installers, Tile and Marble Setters, Interpreters and Translators</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Baseline skills (the in-demand basic skills an individual should have): Communication and Teamwork/Collaboration (soft skills) most in-demand, however Microsoft Excel was the most in-demand hard skill</w:t>
      </w:r>
    </w:p>
    <w:p w:rsidR="00C37EAC" w:rsidRPr="001D529A" w:rsidRDefault="00C85CD3">
      <w:pPr>
        <w:numPr>
          <w:ilvl w:val="0"/>
          <w:numId w:val="5"/>
        </w:numPr>
        <w:spacing w:after="0" w:line="240" w:lineRule="auto"/>
        <w:rPr>
          <w:rFonts w:asciiTheme="majorHAnsi" w:hAnsiTheme="majorHAnsi" w:cstheme="majorHAnsi"/>
          <w:color w:val="000000"/>
        </w:rPr>
      </w:pPr>
      <w:r w:rsidRPr="001D529A">
        <w:rPr>
          <w:rFonts w:asciiTheme="majorHAnsi" w:eastAsia="Calibri" w:hAnsiTheme="majorHAnsi" w:cstheme="majorHAnsi"/>
          <w:color w:val="000000"/>
        </w:rPr>
        <w:t>Healthcare has become OC’s most important middle-skills employing industry, with almost 20,000 job postings in the past year</w:t>
      </w:r>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 xml:space="preserve">Orange County is home to some of the world’s largest companies.  </w:t>
      </w:r>
      <w:proofErr w:type="gramStart"/>
      <w:r w:rsidRPr="001D529A">
        <w:rPr>
          <w:rFonts w:asciiTheme="majorHAnsi" w:eastAsia="Calibri" w:hAnsiTheme="majorHAnsi" w:cstheme="majorHAnsi"/>
          <w:color w:val="000000"/>
        </w:rPr>
        <w:t>The following list includes Orange County’s top 25 employers as reported by the Orange County Business Journal: Walt Disney Company (29,000), University of California Irvine (23,605), St. Joseph Health (11,925), Allied Universal (8,229), Kaiser Permanente (7,694), The Boeing Company (6,103), Wal-Mart Stores (6,000), California State University, Fullerton (5,781), Bank of America Corp (5,500), Target Corp (5,400), Hoag Memorial Hospital (5,240), Memorial Care Health Systems (5,200), Wells Fargo &amp; Co (5,190), Tenet Healthcare Corp (4,346), The Irvine Company (4,200), Home Depot (4,084), Albertsons (4,017), Cedar Fair (4,000), United Health Group (3,900), Edwards Lifesciences (3,823), Kroger Co (3,709), Costco Wholesale (3,614), Automobile Club of Southern California (3,600), CVS Health (3,600), AT &amp; T (3,500).</w:t>
      </w:r>
      <w:proofErr w:type="gramEnd"/>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Our consortium curr</w:t>
      </w:r>
      <w:r w:rsidR="005B683A">
        <w:rPr>
          <w:rFonts w:asciiTheme="majorHAnsi" w:eastAsia="Calibri" w:hAnsiTheme="majorHAnsi" w:cstheme="majorHAnsi"/>
          <w:color w:val="000000"/>
        </w:rPr>
        <w:t>ently serves a wide variety of adult l</w:t>
      </w:r>
      <w:r w:rsidRPr="001D529A">
        <w:rPr>
          <w:rFonts w:asciiTheme="majorHAnsi" w:eastAsia="Calibri" w:hAnsiTheme="majorHAnsi" w:cstheme="majorHAnsi"/>
          <w:color w:val="000000"/>
        </w:rPr>
        <w:t xml:space="preserve">earners, 6306 students in total.  The student breakdown by consortium member is as follows: 1227 students from Irvine Valley College, 2576 students from Saddleback College, 917 students from Irvine Unified School District, 1467 students from </w:t>
      </w:r>
      <w:r w:rsidRPr="001D529A">
        <w:rPr>
          <w:rFonts w:asciiTheme="majorHAnsi" w:eastAsia="Calibri" w:hAnsiTheme="majorHAnsi" w:cstheme="majorHAnsi"/>
          <w:color w:val="000000"/>
        </w:rPr>
        <w:lastRenderedPageBreak/>
        <w:t xml:space="preserve">Tustin Unified School District, and 10 students from Laguna Beach Unified School District. In the 2018/2019 school year, College and Career Advantage (ROP Program) which </w:t>
      </w:r>
      <w:proofErr w:type="gramStart"/>
      <w:r w:rsidRPr="001D529A">
        <w:rPr>
          <w:rFonts w:asciiTheme="majorHAnsi" w:eastAsia="Calibri" w:hAnsiTheme="majorHAnsi" w:cstheme="majorHAnsi"/>
          <w:color w:val="000000"/>
        </w:rPr>
        <w:t>was previously reported</w:t>
      </w:r>
      <w:proofErr w:type="gramEnd"/>
      <w:r w:rsidRPr="001D529A">
        <w:rPr>
          <w:rFonts w:asciiTheme="majorHAnsi" w:eastAsia="Calibri" w:hAnsiTheme="majorHAnsi" w:cstheme="majorHAnsi"/>
          <w:color w:val="000000"/>
        </w:rPr>
        <w:t xml:space="preserve"> as a program area under Saddleback College, was designated as an independent partner, and served 109 students. </w:t>
      </w:r>
    </w:p>
    <w:p w:rsidR="00C37EAC" w:rsidRPr="001D529A" w:rsidRDefault="00C37EAC">
      <w:pPr>
        <w:spacing w:after="0" w:line="240" w:lineRule="auto"/>
        <w:rPr>
          <w:rFonts w:asciiTheme="majorHAnsi" w:eastAsia="Calibri" w:hAnsiTheme="majorHAnsi" w:cstheme="majorHAnsi"/>
          <w:color w:val="000000"/>
        </w:rPr>
      </w:pPr>
    </w:p>
    <w:p w:rsidR="00C37EAC" w:rsidRPr="001D529A" w:rsidRDefault="001D529A">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Based on enrollment data, o</w:t>
      </w:r>
      <w:r w:rsidR="00C85CD3" w:rsidRPr="001D529A">
        <w:rPr>
          <w:rFonts w:asciiTheme="majorHAnsi" w:eastAsia="Calibri" w:hAnsiTheme="majorHAnsi" w:cstheme="majorHAnsi"/>
          <w:color w:val="000000"/>
        </w:rPr>
        <w:t xml:space="preserve">ur consortium serves different student populations among our sites.  The vast majority of adult learners are females (68%, 4303 students).  The majority of students are between 30-54 years of age with the largest percentage between 40-50 years of age.  The majority of students do not have any degrees earned in the United States.  Outside the United States, the majority of adult learners have either a high school diploma or BA as the highest diploma earned.  In terms of ethnicity, 37% of our students are Hispanic.  In terms of race, the majority of students fall in two groups (59% are white and 36% are Asian).  There are over 25 languages spoken by our adult learners with the majority speaking Spanish (32%), in the southern portion of our consortium, and Chinese (20%), in the northern portion of our consortium.  </w:t>
      </w:r>
    </w:p>
    <w:p w:rsidR="00C37EAC" w:rsidRPr="001D529A" w:rsidRDefault="00C37EAC">
      <w:pPr>
        <w:spacing w:after="0" w:line="240" w:lineRule="auto"/>
        <w:rPr>
          <w:rFonts w:asciiTheme="majorHAnsi" w:eastAsia="Calibri" w:hAnsiTheme="majorHAnsi" w:cstheme="majorHAnsi"/>
          <w:color w:val="04326C"/>
        </w:rPr>
      </w:pPr>
    </w:p>
    <w:p w:rsidR="00C37EAC" w:rsidRPr="001D529A" w:rsidRDefault="00C85CD3">
      <w:pPr>
        <w:spacing w:after="0" w:line="240" w:lineRule="auto"/>
        <w:rPr>
          <w:rFonts w:asciiTheme="majorHAnsi" w:eastAsia="Calibri" w:hAnsiTheme="majorHAnsi" w:cstheme="majorHAnsi"/>
          <w:color w:val="000000"/>
        </w:rPr>
      </w:pPr>
      <w:r w:rsidRPr="001D529A">
        <w:rPr>
          <w:rFonts w:asciiTheme="majorHAnsi" w:eastAsia="Calibri" w:hAnsiTheme="majorHAnsi" w:cstheme="majorHAnsi"/>
          <w:color w:val="000000"/>
        </w:rPr>
        <w:t xml:space="preserve">Our consortium currently provides extensive course offerings for almost all program areas.  All partners offer courses for English Language learners including: Saddleback College, Irvine Valley College, Tustin Adult and Irvine Adult School.  Many members offer courses leading to a high school diploma or high school equivalency. Saddleback College offers </w:t>
      </w:r>
      <w:r w:rsidR="005B683A">
        <w:rPr>
          <w:rFonts w:asciiTheme="majorHAnsi" w:eastAsia="Calibri" w:hAnsiTheme="majorHAnsi" w:cstheme="majorHAnsi"/>
          <w:color w:val="000000"/>
        </w:rPr>
        <w:t>High School Equivalency (</w:t>
      </w:r>
      <w:r w:rsidRPr="001D529A">
        <w:rPr>
          <w:rFonts w:asciiTheme="majorHAnsi" w:eastAsia="Calibri" w:hAnsiTheme="majorHAnsi" w:cstheme="majorHAnsi"/>
          <w:color w:val="000000"/>
        </w:rPr>
        <w:t>HSE</w:t>
      </w:r>
      <w:r w:rsidR="005B683A">
        <w:rPr>
          <w:rFonts w:asciiTheme="majorHAnsi" w:eastAsia="Calibri" w:hAnsiTheme="majorHAnsi" w:cstheme="majorHAnsi"/>
          <w:color w:val="000000"/>
        </w:rPr>
        <w:t>)</w:t>
      </w:r>
      <w:r w:rsidRPr="001D529A">
        <w:rPr>
          <w:rFonts w:asciiTheme="majorHAnsi" w:eastAsia="Calibri" w:hAnsiTheme="majorHAnsi" w:cstheme="majorHAnsi"/>
          <w:color w:val="000000"/>
        </w:rPr>
        <w:t xml:space="preserve"> preparation classes and offers the </w:t>
      </w:r>
      <w:proofErr w:type="spellStart"/>
      <w:r w:rsidRPr="001D529A">
        <w:rPr>
          <w:rFonts w:asciiTheme="majorHAnsi" w:eastAsia="Calibri" w:hAnsiTheme="majorHAnsi" w:cstheme="majorHAnsi"/>
          <w:color w:val="000000"/>
        </w:rPr>
        <w:t>HiSet</w:t>
      </w:r>
      <w:proofErr w:type="spellEnd"/>
      <w:r w:rsidRPr="001D529A">
        <w:rPr>
          <w:rFonts w:asciiTheme="majorHAnsi" w:eastAsia="Calibri" w:hAnsiTheme="majorHAnsi" w:cstheme="majorHAnsi"/>
          <w:color w:val="000000"/>
        </w:rPr>
        <w:t xml:space="preserve"> testing on campus the first Friday and Saturday of every month.  Tustin offers basic skills courses.  Tustin and Saddleback also offer courses for workforce re-entry and career and technical education. College and Career Advantage only offers CTE courses.  Saddleback provides programming for adults with disabilities.   The programming aligns with the needs of our students and the needs of the area employers.  An area of need in the consortium is pre-apprenticeship programs as well as an expansion of CTE courses that align with the area employers.  Based on recent consortium research, we found that our customer (student population) is comprised of highly educated individuals who are interested in greater opportunities for authentic conversations with native speakers.  Barriers continue to include transportation and </w:t>
      </w:r>
      <w:proofErr w:type="gramStart"/>
      <w:r w:rsidRPr="001D529A">
        <w:rPr>
          <w:rFonts w:asciiTheme="majorHAnsi" w:eastAsia="Calibri" w:hAnsiTheme="majorHAnsi" w:cstheme="majorHAnsi"/>
          <w:color w:val="000000"/>
        </w:rPr>
        <w:t>child care</w:t>
      </w:r>
      <w:proofErr w:type="gramEnd"/>
      <w:r w:rsidRPr="001D529A">
        <w:rPr>
          <w:rFonts w:asciiTheme="majorHAnsi" w:eastAsia="Calibri" w:hAnsiTheme="majorHAnsi" w:cstheme="majorHAnsi"/>
          <w:color w:val="000000"/>
        </w:rPr>
        <w:t xml:space="preserve">.  </w:t>
      </w:r>
    </w:p>
    <w:p w:rsidR="00C37EAC" w:rsidRPr="001D529A" w:rsidRDefault="00C37EAC">
      <w:pPr>
        <w:spacing w:after="0" w:line="240" w:lineRule="auto"/>
        <w:rPr>
          <w:rFonts w:asciiTheme="majorHAnsi" w:eastAsia="Calibri" w:hAnsiTheme="majorHAnsi" w:cstheme="majorHAnsi"/>
          <w:color w:val="04326C"/>
        </w:rPr>
      </w:pPr>
    </w:p>
    <w:p w:rsidR="00C37EAC" w:rsidRPr="001D529A" w:rsidRDefault="00C37EAC">
      <w:pPr>
        <w:spacing w:after="0" w:line="240" w:lineRule="auto"/>
        <w:rPr>
          <w:rFonts w:asciiTheme="majorHAnsi" w:eastAsia="Calibri" w:hAnsiTheme="majorHAnsi" w:cstheme="majorHAnsi"/>
          <w:color w:val="04326C"/>
        </w:rPr>
      </w:pPr>
    </w:p>
    <w:p w:rsidR="00C37EAC" w:rsidRPr="001D529A" w:rsidRDefault="00C37EAC">
      <w:pPr>
        <w:shd w:val="clear" w:color="auto" w:fill="FFFFFF"/>
        <w:spacing w:after="380" w:line="240" w:lineRule="auto"/>
        <w:rPr>
          <w:rFonts w:asciiTheme="majorHAnsi" w:eastAsia="Arial" w:hAnsiTheme="majorHAnsi" w:cstheme="majorHAnsi"/>
          <w:color w:val="333333"/>
        </w:rPr>
      </w:pPr>
    </w:p>
    <w:p w:rsidR="00C37EAC" w:rsidRPr="001D529A" w:rsidRDefault="00C85CD3">
      <w:pPr>
        <w:shd w:val="clear" w:color="auto" w:fill="FFFFFF"/>
        <w:spacing w:after="380" w:line="240" w:lineRule="auto"/>
        <w:rPr>
          <w:rFonts w:asciiTheme="majorHAnsi" w:eastAsia="Arial" w:hAnsiTheme="majorHAnsi" w:cstheme="majorHAnsi"/>
          <w:i/>
          <w:color w:val="336699"/>
          <w:u w:val="single"/>
        </w:rPr>
      </w:pPr>
      <w:r w:rsidRPr="001D529A">
        <w:rPr>
          <w:rFonts w:asciiTheme="majorHAnsi" w:hAnsiTheme="majorHAnsi" w:cstheme="majorHAnsi"/>
        </w:rPr>
        <w:fldChar w:fldCharType="begin"/>
      </w:r>
      <w:r w:rsidRPr="001D529A">
        <w:rPr>
          <w:rFonts w:asciiTheme="majorHAnsi" w:hAnsiTheme="majorHAnsi" w:cstheme="majorHAnsi"/>
        </w:rPr>
        <w:instrText xml:space="preserve"> HYPERLINK "http://www.cbjonline.com/a1ocbj/lists/List-2016-OC_Employers.pdf" </w:instrText>
      </w:r>
      <w:r w:rsidRPr="001D529A">
        <w:rPr>
          <w:rFonts w:asciiTheme="majorHAnsi" w:hAnsiTheme="majorHAnsi" w:cstheme="majorHAnsi"/>
        </w:rPr>
        <w:fldChar w:fldCharType="separate"/>
      </w:r>
    </w:p>
    <w:p w:rsidR="00C37EAC" w:rsidRDefault="00C85CD3">
      <w:pPr>
        <w:spacing w:after="0" w:line="240" w:lineRule="auto"/>
        <w:rPr>
          <w:rFonts w:ascii="Calibri" w:eastAsia="Calibri" w:hAnsi="Calibri" w:cs="Calibri"/>
          <w:color w:val="04326C"/>
          <w:sz w:val="20"/>
          <w:szCs w:val="20"/>
        </w:rPr>
      </w:pPr>
      <w:r w:rsidRPr="001D529A">
        <w:rPr>
          <w:rFonts w:asciiTheme="majorHAnsi" w:hAnsiTheme="majorHAnsi" w:cstheme="majorHAnsi"/>
        </w:rPr>
        <w:fldChar w:fldCharType="end"/>
      </w: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37EAC">
      <w:pPr>
        <w:spacing w:after="0" w:line="240" w:lineRule="auto"/>
        <w:rPr>
          <w:rFonts w:ascii="Calibri" w:eastAsia="Calibri" w:hAnsi="Calibri" w:cs="Calibri"/>
          <w:color w:val="04326C"/>
          <w:sz w:val="20"/>
          <w:szCs w:val="20"/>
        </w:rPr>
      </w:pPr>
    </w:p>
    <w:p w:rsidR="00C37EAC" w:rsidRDefault="00C85CD3">
      <w:pPr>
        <w:pStyle w:val="Heading2"/>
      </w:pPr>
      <w:bookmarkStart w:id="18" w:name="_z337ya" w:colFirst="0" w:colLast="0"/>
      <w:bookmarkEnd w:id="18"/>
      <w:r>
        <w:lastRenderedPageBreak/>
        <w:t>2.4 Identifying Goals and Strategies</w:t>
      </w:r>
    </w:p>
    <w:p w:rsidR="00C37EAC" w:rsidRPr="001D529A" w:rsidRDefault="00C85CD3">
      <w:pPr>
        <w:pStyle w:val="Heading3"/>
        <w:rPr>
          <w:rFonts w:asciiTheme="majorHAnsi" w:hAnsiTheme="majorHAnsi" w:cstheme="majorHAnsi"/>
          <w:sz w:val="22"/>
          <w:szCs w:val="20"/>
          <w:u w:val="single"/>
        </w:rPr>
      </w:pPr>
      <w:r w:rsidRPr="001D529A">
        <w:rPr>
          <w:rFonts w:asciiTheme="majorHAnsi" w:hAnsiTheme="majorHAnsi" w:cstheme="majorHAnsi"/>
          <w:sz w:val="22"/>
          <w:szCs w:val="20"/>
          <w:u w:val="single"/>
        </w:rPr>
        <w:t>GOAL #1 (Quality Indicator #1: Capacity): Increase consorti</w:t>
      </w:r>
      <w:r w:rsidR="00696B09" w:rsidRPr="001D529A">
        <w:rPr>
          <w:rFonts w:asciiTheme="majorHAnsi" w:hAnsiTheme="majorHAnsi" w:cstheme="majorHAnsi"/>
          <w:sz w:val="22"/>
          <w:szCs w:val="20"/>
          <w:u w:val="single"/>
        </w:rPr>
        <w:t>um and individual member abilities</w:t>
      </w:r>
      <w:r w:rsidRPr="001D529A">
        <w:rPr>
          <w:rFonts w:asciiTheme="majorHAnsi" w:hAnsiTheme="majorHAnsi" w:cstheme="majorHAnsi"/>
          <w:sz w:val="22"/>
          <w:szCs w:val="20"/>
          <w:u w:val="single"/>
        </w:rPr>
        <w:t xml:space="preserve"> to support each other and build capacity to deliver high quality adult education to meet community needs.</w:t>
      </w:r>
    </w:p>
    <w:p w:rsidR="00C37EAC" w:rsidRPr="001D529A" w:rsidRDefault="00C85CD3">
      <w:pPr>
        <w:pStyle w:val="Heading3"/>
        <w:numPr>
          <w:ilvl w:val="0"/>
          <w:numId w:val="3"/>
        </w:numPr>
        <w:spacing w:after="0"/>
        <w:rPr>
          <w:rFonts w:asciiTheme="majorHAnsi" w:hAnsiTheme="majorHAnsi" w:cstheme="majorHAnsi"/>
          <w:sz w:val="22"/>
          <w:szCs w:val="20"/>
        </w:rPr>
      </w:pPr>
      <w:r w:rsidRPr="001D529A">
        <w:rPr>
          <w:rFonts w:asciiTheme="majorHAnsi" w:hAnsiTheme="majorHAnsi" w:cstheme="majorHAnsi"/>
          <w:sz w:val="22"/>
          <w:szCs w:val="20"/>
        </w:rPr>
        <w:t xml:space="preserve">Reexamine and Revise the SOCRC governance and </w:t>
      </w:r>
      <w:r w:rsidR="00696B09" w:rsidRPr="001D529A">
        <w:rPr>
          <w:rFonts w:asciiTheme="majorHAnsi" w:hAnsiTheme="majorHAnsi" w:cstheme="majorHAnsi"/>
          <w:sz w:val="22"/>
          <w:szCs w:val="20"/>
        </w:rPr>
        <w:t xml:space="preserve">create </w:t>
      </w:r>
      <w:r w:rsidRPr="001D529A">
        <w:rPr>
          <w:rFonts w:asciiTheme="majorHAnsi" w:hAnsiTheme="majorHAnsi" w:cstheme="majorHAnsi"/>
          <w:sz w:val="22"/>
          <w:szCs w:val="20"/>
        </w:rPr>
        <w:t xml:space="preserve">bylaws </w:t>
      </w:r>
    </w:p>
    <w:p w:rsidR="00FF2698"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Engage members in a</w:t>
      </w:r>
      <w:r w:rsidR="005B683A">
        <w:rPr>
          <w:rFonts w:asciiTheme="majorHAnsi" w:hAnsiTheme="majorHAnsi" w:cstheme="majorHAnsi"/>
          <w:szCs w:val="20"/>
        </w:rPr>
        <w:t xml:space="preserve"> collaborative process </w:t>
      </w:r>
      <w:r w:rsidRPr="001D529A">
        <w:rPr>
          <w:rFonts w:asciiTheme="majorHAnsi" w:hAnsiTheme="majorHAnsi" w:cstheme="majorHAnsi"/>
          <w:szCs w:val="20"/>
        </w:rPr>
        <w:t>to re-examine and edit aspects of the SOCRC governance.  Ensure that all members have the opportunity for full participation and voice in the process.</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Establish bylaws that articulate member expectations for involvement and voting rights</w:t>
      </w:r>
      <w:r w:rsidR="001D529A">
        <w:rPr>
          <w:rFonts w:asciiTheme="majorHAnsi" w:hAnsiTheme="majorHAnsi" w:cstheme="majorHAnsi"/>
          <w:szCs w:val="20"/>
        </w:rPr>
        <w:t>.</w:t>
      </w:r>
      <w:r w:rsidRPr="001D529A">
        <w:rPr>
          <w:rFonts w:asciiTheme="majorHAnsi" w:hAnsiTheme="majorHAnsi" w:cstheme="majorHAnsi"/>
          <w:szCs w:val="20"/>
        </w:rPr>
        <w:t xml:space="preserve"> </w:t>
      </w:r>
    </w:p>
    <w:p w:rsidR="00C37EAC" w:rsidRPr="001D529A" w:rsidRDefault="005B683A" w:rsidP="004C1DBF">
      <w:pPr>
        <w:numPr>
          <w:ilvl w:val="1"/>
          <w:numId w:val="3"/>
        </w:numPr>
        <w:spacing w:after="0" w:line="240" w:lineRule="auto"/>
        <w:rPr>
          <w:rFonts w:asciiTheme="majorHAnsi" w:hAnsiTheme="majorHAnsi" w:cstheme="majorHAnsi"/>
          <w:szCs w:val="20"/>
        </w:rPr>
      </w:pPr>
      <w:r>
        <w:rPr>
          <w:rFonts w:asciiTheme="majorHAnsi" w:hAnsiTheme="majorHAnsi" w:cstheme="majorHAnsi"/>
          <w:szCs w:val="20"/>
        </w:rPr>
        <w:t xml:space="preserve">Develop a method </w:t>
      </w:r>
      <w:r w:rsidR="00C85CD3" w:rsidRPr="001D529A">
        <w:rPr>
          <w:rFonts w:asciiTheme="majorHAnsi" w:hAnsiTheme="majorHAnsi" w:cstheme="majorHAnsi"/>
          <w:szCs w:val="20"/>
        </w:rPr>
        <w:t>to measure member participation in the allocation of funds distributed in the consortium</w:t>
      </w:r>
      <w:r w:rsidR="001D529A">
        <w:rPr>
          <w:rFonts w:asciiTheme="majorHAnsi" w:hAnsiTheme="majorHAnsi" w:cstheme="majorHAnsi"/>
          <w:szCs w:val="20"/>
        </w:rPr>
        <w:t>.</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Clarify measures of student success that all members will use</w:t>
      </w:r>
      <w:r w:rsidR="001D529A">
        <w:rPr>
          <w:rFonts w:asciiTheme="majorHAnsi" w:hAnsiTheme="majorHAnsi" w:cstheme="majorHAnsi"/>
          <w:szCs w:val="20"/>
        </w:rPr>
        <w:t>.</w:t>
      </w:r>
    </w:p>
    <w:p w:rsidR="00C37EAC" w:rsidRPr="001D529A" w:rsidRDefault="00C85CD3">
      <w:pPr>
        <w:pStyle w:val="Heading3"/>
        <w:numPr>
          <w:ilvl w:val="0"/>
          <w:numId w:val="3"/>
        </w:numPr>
        <w:spacing w:before="200" w:after="0"/>
        <w:rPr>
          <w:rFonts w:asciiTheme="majorHAnsi" w:hAnsiTheme="majorHAnsi" w:cstheme="majorHAnsi"/>
          <w:sz w:val="22"/>
          <w:szCs w:val="20"/>
        </w:rPr>
      </w:pPr>
      <w:r w:rsidRPr="001D529A">
        <w:rPr>
          <w:rFonts w:asciiTheme="majorHAnsi" w:hAnsiTheme="majorHAnsi" w:cstheme="majorHAnsi"/>
          <w:sz w:val="22"/>
          <w:szCs w:val="20"/>
        </w:rPr>
        <w:t>Increase professional development to ensure opportunities for faculty and staff to turn new knowledge into practice</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 xml:space="preserve">Develop orientations for new program staff that includes a thorough review of </w:t>
      </w:r>
      <w:r w:rsidRPr="001D529A">
        <w:rPr>
          <w:rFonts w:asciiTheme="majorHAnsi" w:hAnsiTheme="majorHAnsi" w:cstheme="majorHAnsi"/>
          <w:color w:val="000000"/>
          <w:szCs w:val="20"/>
        </w:rPr>
        <w:t>CAEP</w:t>
      </w:r>
      <w:r w:rsidRPr="001D529A">
        <w:rPr>
          <w:rFonts w:asciiTheme="majorHAnsi" w:hAnsiTheme="majorHAnsi" w:cstheme="majorHAnsi"/>
          <w:color w:val="FF0000"/>
          <w:szCs w:val="20"/>
        </w:rPr>
        <w:t xml:space="preserve"> </w:t>
      </w:r>
      <w:r w:rsidRPr="001D529A">
        <w:rPr>
          <w:rFonts w:asciiTheme="majorHAnsi" w:hAnsiTheme="majorHAnsi" w:cstheme="majorHAnsi"/>
          <w:szCs w:val="20"/>
        </w:rPr>
        <w:t>policies and guidance and practices.</w:t>
      </w:r>
    </w:p>
    <w:p w:rsidR="00C37EAC" w:rsidRPr="001D529A" w:rsidRDefault="00C85CD3" w:rsidP="004C1DBF">
      <w:pPr>
        <w:numPr>
          <w:ilvl w:val="1"/>
          <w:numId w:val="3"/>
        </w:numPr>
        <w:spacing w:after="0" w:line="240" w:lineRule="auto"/>
        <w:rPr>
          <w:rFonts w:asciiTheme="majorHAnsi" w:hAnsiTheme="majorHAnsi" w:cstheme="majorHAnsi"/>
          <w:szCs w:val="20"/>
        </w:rPr>
      </w:pPr>
      <w:r w:rsidRPr="001D529A">
        <w:rPr>
          <w:rFonts w:asciiTheme="majorHAnsi" w:hAnsiTheme="majorHAnsi" w:cstheme="majorHAnsi"/>
          <w:szCs w:val="20"/>
        </w:rPr>
        <w:t>Increase consortium professional development opportunities and participation</w:t>
      </w:r>
      <w:r w:rsidR="001D529A">
        <w:rPr>
          <w:rFonts w:asciiTheme="majorHAnsi" w:hAnsiTheme="majorHAnsi" w:cstheme="majorHAnsi"/>
          <w:szCs w:val="20"/>
        </w:rPr>
        <w:t>.</w:t>
      </w:r>
    </w:p>
    <w:p w:rsidR="00C37EAC" w:rsidRPr="001D529A" w:rsidRDefault="00696B09">
      <w:pPr>
        <w:pStyle w:val="Heading3"/>
        <w:rPr>
          <w:rFonts w:asciiTheme="majorHAnsi" w:hAnsiTheme="majorHAnsi" w:cstheme="majorHAnsi"/>
          <w:sz w:val="22"/>
          <w:szCs w:val="20"/>
        </w:rPr>
      </w:pPr>
      <w:bookmarkStart w:id="19" w:name="_iadx6r3dvcy9" w:colFirst="0" w:colLast="0"/>
      <w:bookmarkEnd w:id="19"/>
      <w:r w:rsidRPr="001D529A">
        <w:rPr>
          <w:rFonts w:asciiTheme="majorHAnsi" w:hAnsiTheme="majorHAnsi" w:cstheme="majorHAnsi"/>
          <w:sz w:val="22"/>
          <w:szCs w:val="20"/>
          <w:u w:val="single"/>
        </w:rPr>
        <w:t>GOAL #2 (Quality Indicator #2</w:t>
      </w:r>
      <w:proofErr w:type="gramStart"/>
      <w:r w:rsidRPr="001D529A">
        <w:rPr>
          <w:rFonts w:asciiTheme="majorHAnsi" w:hAnsiTheme="majorHAnsi" w:cstheme="majorHAnsi"/>
          <w:sz w:val="22"/>
          <w:szCs w:val="20"/>
          <w:u w:val="single"/>
        </w:rPr>
        <w:t>:</w:t>
      </w:r>
      <w:r w:rsidR="00C85CD3" w:rsidRPr="001D529A">
        <w:rPr>
          <w:rFonts w:asciiTheme="majorHAnsi" w:hAnsiTheme="majorHAnsi" w:cstheme="majorHAnsi"/>
          <w:sz w:val="22"/>
          <w:szCs w:val="20"/>
          <w:u w:val="single"/>
        </w:rPr>
        <w:t>Connection</w:t>
      </w:r>
      <w:proofErr w:type="gramEnd"/>
      <w:r w:rsidR="00C85CD3" w:rsidRPr="001D529A">
        <w:rPr>
          <w:rFonts w:asciiTheme="majorHAnsi" w:hAnsiTheme="majorHAnsi" w:cstheme="majorHAnsi"/>
          <w:sz w:val="22"/>
          <w:szCs w:val="20"/>
          <w:u w:val="single"/>
        </w:rPr>
        <w:t>): Increase coordinated, proactive engagement to students on educational and training options and choices</w:t>
      </w:r>
    </w:p>
    <w:p w:rsidR="00C37EAC" w:rsidRPr="001D529A" w:rsidRDefault="00C85CD3">
      <w:pPr>
        <w:numPr>
          <w:ilvl w:val="0"/>
          <w:numId w:val="4"/>
        </w:numPr>
        <w:rPr>
          <w:rFonts w:asciiTheme="majorHAnsi" w:hAnsiTheme="majorHAnsi" w:cstheme="majorHAnsi"/>
          <w:szCs w:val="20"/>
        </w:rPr>
      </w:pPr>
      <w:r w:rsidRPr="001D529A">
        <w:rPr>
          <w:rFonts w:asciiTheme="majorHAnsi" w:hAnsiTheme="majorHAnsi" w:cstheme="majorHAnsi"/>
          <w:szCs w:val="20"/>
        </w:rPr>
        <w:t>Develop program maps that delineate requirements and align employment, career pathway opportunities, postsecondary education and training transition, and skills gains, across members and partners to increase successful transitions.</w:t>
      </w:r>
    </w:p>
    <w:p w:rsidR="00C37EAC" w:rsidRPr="001D529A" w:rsidRDefault="00C85CD3">
      <w:pPr>
        <w:rPr>
          <w:rFonts w:asciiTheme="majorHAnsi" w:hAnsiTheme="majorHAnsi" w:cstheme="majorHAnsi"/>
          <w:b/>
          <w:szCs w:val="20"/>
          <w:u w:val="single"/>
        </w:rPr>
      </w:pPr>
      <w:r w:rsidRPr="001D529A">
        <w:rPr>
          <w:rFonts w:asciiTheme="majorHAnsi" w:hAnsiTheme="majorHAnsi" w:cstheme="majorHAnsi"/>
          <w:b/>
          <w:szCs w:val="20"/>
          <w:u w:val="single"/>
        </w:rPr>
        <w:t>GOAL #3(Quality Indicator #3</w:t>
      </w:r>
      <w:proofErr w:type="gramStart"/>
      <w:r w:rsidRPr="001D529A">
        <w:rPr>
          <w:rFonts w:asciiTheme="majorHAnsi" w:hAnsiTheme="majorHAnsi" w:cstheme="majorHAnsi"/>
          <w:b/>
          <w:szCs w:val="20"/>
          <w:u w:val="single"/>
        </w:rPr>
        <w:t>:Entry</w:t>
      </w:r>
      <w:proofErr w:type="gramEnd"/>
      <w:r w:rsidRPr="001D529A">
        <w:rPr>
          <w:rFonts w:asciiTheme="majorHAnsi" w:hAnsiTheme="majorHAnsi" w:cstheme="majorHAnsi"/>
          <w:b/>
          <w:szCs w:val="20"/>
          <w:u w:val="single"/>
        </w:rPr>
        <w:t>): Increase career and goal exploration and planning that addresses individual student needs and interests</w:t>
      </w:r>
    </w:p>
    <w:p w:rsidR="00C37EAC" w:rsidRPr="001D529A" w:rsidRDefault="00FF2698">
      <w:pPr>
        <w:numPr>
          <w:ilvl w:val="0"/>
          <w:numId w:val="1"/>
        </w:numPr>
        <w:spacing w:after="0"/>
        <w:rPr>
          <w:rFonts w:asciiTheme="majorHAnsi" w:hAnsiTheme="majorHAnsi" w:cstheme="majorHAnsi"/>
          <w:szCs w:val="20"/>
        </w:rPr>
      </w:pPr>
      <w:r w:rsidRPr="001D529A">
        <w:rPr>
          <w:rFonts w:asciiTheme="majorHAnsi" w:hAnsiTheme="majorHAnsi" w:cstheme="majorHAnsi"/>
          <w:szCs w:val="20"/>
        </w:rPr>
        <w:t>Provide</w:t>
      </w:r>
      <w:r w:rsidR="00C85CD3" w:rsidRPr="001D529A">
        <w:rPr>
          <w:rFonts w:asciiTheme="majorHAnsi" w:hAnsiTheme="majorHAnsi" w:cstheme="majorHAnsi"/>
          <w:szCs w:val="20"/>
        </w:rPr>
        <w:t xml:space="preserve"> an orientation for first-time students to help students identify career goals and goals aligne</w:t>
      </w:r>
      <w:r w:rsidR="005B683A">
        <w:rPr>
          <w:rFonts w:asciiTheme="majorHAnsi" w:hAnsiTheme="majorHAnsi" w:cstheme="majorHAnsi"/>
          <w:szCs w:val="20"/>
        </w:rPr>
        <w:t>d to skills and interests.  This will provide</w:t>
      </w:r>
      <w:r w:rsidR="00C85CD3" w:rsidRPr="001D529A">
        <w:rPr>
          <w:rFonts w:asciiTheme="majorHAnsi" w:hAnsiTheme="majorHAnsi" w:cstheme="majorHAnsi"/>
          <w:szCs w:val="20"/>
        </w:rPr>
        <w:t xml:space="preserve"> an overview of the </w:t>
      </w:r>
      <w:r w:rsidR="005B683A">
        <w:rPr>
          <w:rFonts w:asciiTheme="majorHAnsi" w:hAnsiTheme="majorHAnsi" w:cstheme="majorHAnsi"/>
          <w:szCs w:val="20"/>
        </w:rPr>
        <w:t xml:space="preserve">CAEP </w:t>
      </w:r>
      <w:r w:rsidR="00C85CD3" w:rsidRPr="001D529A">
        <w:rPr>
          <w:rFonts w:asciiTheme="majorHAnsi" w:hAnsiTheme="majorHAnsi" w:cstheme="majorHAnsi"/>
          <w:szCs w:val="20"/>
        </w:rPr>
        <w:t>program and available program support services.</w:t>
      </w:r>
    </w:p>
    <w:p w:rsidR="00C37EAC" w:rsidRPr="001D529A" w:rsidRDefault="00C85CD3">
      <w:pPr>
        <w:numPr>
          <w:ilvl w:val="0"/>
          <w:numId w:val="1"/>
        </w:numPr>
        <w:rPr>
          <w:rFonts w:asciiTheme="majorHAnsi" w:hAnsiTheme="majorHAnsi" w:cstheme="majorHAnsi"/>
          <w:szCs w:val="20"/>
        </w:rPr>
      </w:pPr>
      <w:r w:rsidRPr="001D529A">
        <w:rPr>
          <w:rFonts w:asciiTheme="majorHAnsi" w:hAnsiTheme="majorHAnsi" w:cstheme="majorHAnsi"/>
          <w:szCs w:val="20"/>
        </w:rPr>
        <w:t>Develop a common process amongst members in terms of assessment, placement, and use of individual learning plans</w:t>
      </w:r>
      <w:r w:rsidR="001D529A">
        <w:rPr>
          <w:rFonts w:asciiTheme="majorHAnsi" w:hAnsiTheme="majorHAnsi" w:cstheme="majorHAnsi"/>
          <w:szCs w:val="20"/>
        </w:rPr>
        <w:t>.</w:t>
      </w:r>
    </w:p>
    <w:p w:rsidR="00C37EAC" w:rsidRPr="001D529A" w:rsidRDefault="00C85CD3">
      <w:pPr>
        <w:rPr>
          <w:rFonts w:asciiTheme="majorHAnsi" w:hAnsiTheme="majorHAnsi" w:cstheme="majorHAnsi"/>
          <w:b/>
          <w:szCs w:val="20"/>
          <w:u w:val="single"/>
        </w:rPr>
      </w:pPr>
      <w:r w:rsidRPr="001D529A">
        <w:rPr>
          <w:rFonts w:asciiTheme="majorHAnsi" w:hAnsiTheme="majorHAnsi" w:cstheme="majorHAnsi"/>
          <w:b/>
          <w:szCs w:val="20"/>
          <w:u w:val="single"/>
        </w:rPr>
        <w:t>GOAL #4(Quality Indicator #4</w:t>
      </w:r>
      <w:proofErr w:type="gramStart"/>
      <w:r w:rsidRPr="001D529A">
        <w:rPr>
          <w:rFonts w:asciiTheme="majorHAnsi" w:hAnsiTheme="majorHAnsi" w:cstheme="majorHAnsi"/>
          <w:b/>
          <w:szCs w:val="20"/>
          <w:u w:val="single"/>
        </w:rPr>
        <w:t>:Progress</w:t>
      </w:r>
      <w:proofErr w:type="gramEnd"/>
      <w:r w:rsidRPr="001D529A">
        <w:rPr>
          <w:rFonts w:asciiTheme="majorHAnsi" w:hAnsiTheme="majorHAnsi" w:cstheme="majorHAnsi"/>
          <w:b/>
          <w:szCs w:val="20"/>
          <w:u w:val="single"/>
        </w:rPr>
        <w:t>): Aligned and Articulated Programs: Increase agency alignment and articulation of programs including education and training programs and coordinated and consistent student support.</w:t>
      </w:r>
    </w:p>
    <w:p w:rsidR="00C37EAC" w:rsidRPr="001D529A" w:rsidRDefault="00C85CD3">
      <w:pPr>
        <w:numPr>
          <w:ilvl w:val="0"/>
          <w:numId w:val="6"/>
        </w:numPr>
        <w:pBdr>
          <w:top w:val="nil"/>
          <w:left w:val="nil"/>
          <w:bottom w:val="nil"/>
          <w:right w:val="nil"/>
          <w:between w:val="nil"/>
        </w:pBdr>
        <w:spacing w:after="0"/>
        <w:rPr>
          <w:rFonts w:asciiTheme="majorHAnsi" w:hAnsiTheme="majorHAnsi" w:cstheme="majorHAnsi"/>
          <w:szCs w:val="20"/>
        </w:rPr>
      </w:pPr>
      <w:r w:rsidRPr="001D529A">
        <w:rPr>
          <w:rFonts w:asciiTheme="majorHAnsi" w:hAnsiTheme="majorHAnsi" w:cstheme="majorHAnsi"/>
          <w:szCs w:val="20"/>
        </w:rPr>
        <w:t>Develop shared tools and procedures for collecting counseling, postsecondary education and training transition, and support services data.</w:t>
      </w:r>
    </w:p>
    <w:p w:rsidR="00C37EAC" w:rsidRPr="001D529A" w:rsidRDefault="00C85CD3">
      <w:pPr>
        <w:numPr>
          <w:ilvl w:val="1"/>
          <w:numId w:val="6"/>
        </w:numPr>
        <w:spacing w:after="0"/>
        <w:rPr>
          <w:rFonts w:asciiTheme="majorHAnsi" w:hAnsiTheme="majorHAnsi" w:cstheme="majorHAnsi"/>
          <w:szCs w:val="20"/>
        </w:rPr>
      </w:pPr>
      <w:r w:rsidRPr="001D529A">
        <w:rPr>
          <w:rFonts w:asciiTheme="majorHAnsi" w:hAnsiTheme="majorHAnsi" w:cstheme="majorHAnsi"/>
          <w:szCs w:val="20"/>
        </w:rPr>
        <w:t>Create roadmaps that help the Adult Learners transition from adult education to college certificates and degrees</w:t>
      </w:r>
      <w:r w:rsidR="001D529A">
        <w:rPr>
          <w:rFonts w:asciiTheme="majorHAnsi" w:hAnsiTheme="majorHAnsi" w:cstheme="majorHAnsi"/>
          <w:szCs w:val="20"/>
        </w:rPr>
        <w:t>.</w:t>
      </w:r>
    </w:p>
    <w:p w:rsidR="00C37EAC" w:rsidRPr="001D529A" w:rsidRDefault="00C85CD3">
      <w:pPr>
        <w:numPr>
          <w:ilvl w:val="1"/>
          <w:numId w:val="6"/>
        </w:numPr>
        <w:spacing w:after="0"/>
        <w:rPr>
          <w:rFonts w:asciiTheme="majorHAnsi" w:hAnsiTheme="majorHAnsi" w:cstheme="majorHAnsi"/>
          <w:szCs w:val="20"/>
        </w:rPr>
      </w:pPr>
      <w:r w:rsidRPr="001D529A">
        <w:rPr>
          <w:rFonts w:asciiTheme="majorHAnsi" w:hAnsiTheme="majorHAnsi" w:cstheme="majorHAnsi"/>
          <w:szCs w:val="20"/>
        </w:rPr>
        <w:t>Implement career pathways and wrap-around student services programs</w:t>
      </w:r>
      <w:r w:rsidR="001D529A">
        <w:rPr>
          <w:rFonts w:asciiTheme="majorHAnsi" w:hAnsiTheme="majorHAnsi" w:cstheme="majorHAnsi"/>
          <w:szCs w:val="20"/>
        </w:rPr>
        <w:t>.</w:t>
      </w:r>
    </w:p>
    <w:p w:rsidR="00C37EAC" w:rsidRPr="001D529A" w:rsidRDefault="00C85CD3">
      <w:pPr>
        <w:numPr>
          <w:ilvl w:val="0"/>
          <w:numId w:val="6"/>
        </w:numPr>
        <w:spacing w:after="0"/>
        <w:rPr>
          <w:rFonts w:asciiTheme="majorHAnsi" w:hAnsiTheme="majorHAnsi" w:cstheme="majorHAnsi"/>
          <w:szCs w:val="20"/>
        </w:rPr>
      </w:pPr>
      <w:r w:rsidRPr="001D529A">
        <w:rPr>
          <w:rFonts w:asciiTheme="majorHAnsi" w:hAnsiTheme="majorHAnsi" w:cstheme="majorHAnsi"/>
          <w:szCs w:val="20"/>
        </w:rPr>
        <w:lastRenderedPageBreak/>
        <w:t xml:space="preserve">Develop a common student satisfaction survey that </w:t>
      </w:r>
      <w:proofErr w:type="gramStart"/>
      <w:r w:rsidRPr="001D529A">
        <w:rPr>
          <w:rFonts w:asciiTheme="majorHAnsi" w:hAnsiTheme="majorHAnsi" w:cstheme="majorHAnsi"/>
          <w:szCs w:val="20"/>
        </w:rPr>
        <w:t>is given</w:t>
      </w:r>
      <w:proofErr w:type="gramEnd"/>
      <w:r w:rsidRPr="001D529A">
        <w:rPr>
          <w:rFonts w:asciiTheme="majorHAnsi" w:hAnsiTheme="majorHAnsi" w:cstheme="majorHAnsi"/>
          <w:szCs w:val="20"/>
        </w:rPr>
        <w:t xml:space="preserve"> to students at the end of each class term to ensure high rates of satisfaction across all agencies</w:t>
      </w:r>
      <w:r w:rsidR="001D529A">
        <w:rPr>
          <w:rFonts w:asciiTheme="majorHAnsi" w:hAnsiTheme="majorHAnsi" w:cstheme="majorHAnsi"/>
          <w:szCs w:val="20"/>
        </w:rPr>
        <w:t>.</w:t>
      </w:r>
    </w:p>
    <w:p w:rsidR="00C37EAC" w:rsidRPr="001D529A" w:rsidRDefault="00C85CD3">
      <w:pPr>
        <w:numPr>
          <w:ilvl w:val="1"/>
          <w:numId w:val="6"/>
        </w:numPr>
        <w:rPr>
          <w:rFonts w:asciiTheme="majorHAnsi" w:hAnsiTheme="majorHAnsi" w:cstheme="majorHAnsi"/>
          <w:szCs w:val="20"/>
        </w:rPr>
      </w:pPr>
      <w:r w:rsidRPr="001D529A">
        <w:rPr>
          <w:rFonts w:asciiTheme="majorHAnsi" w:hAnsiTheme="majorHAnsi" w:cstheme="majorHAnsi"/>
          <w:szCs w:val="20"/>
        </w:rPr>
        <w:t>Use the data to evaluate program effectiveness with continuous improvement as the goal.</w:t>
      </w:r>
    </w:p>
    <w:p w:rsidR="00C37EAC" w:rsidRPr="001D529A" w:rsidRDefault="00C85CD3">
      <w:pPr>
        <w:rPr>
          <w:rFonts w:asciiTheme="majorHAnsi" w:hAnsiTheme="majorHAnsi" w:cstheme="majorHAnsi"/>
          <w:color w:val="FF0000"/>
          <w:szCs w:val="20"/>
        </w:rPr>
      </w:pPr>
      <w:r w:rsidRPr="001D529A">
        <w:rPr>
          <w:rFonts w:asciiTheme="majorHAnsi" w:hAnsiTheme="majorHAnsi" w:cstheme="majorHAnsi"/>
          <w:b/>
          <w:szCs w:val="20"/>
          <w:u w:val="single"/>
        </w:rPr>
        <w:t>GOAL #5(Quality Indicator #5: Completion/Transition): Increase student timely program completion and increase transition into postsecondary education, training, and/or employment</w:t>
      </w:r>
    </w:p>
    <w:p w:rsidR="00C37EAC" w:rsidRPr="001D529A" w:rsidRDefault="00C85CD3">
      <w:pPr>
        <w:numPr>
          <w:ilvl w:val="0"/>
          <w:numId w:val="2"/>
        </w:numPr>
        <w:spacing w:after="0"/>
        <w:rPr>
          <w:rFonts w:asciiTheme="majorHAnsi" w:hAnsiTheme="majorHAnsi" w:cstheme="majorHAnsi"/>
          <w:szCs w:val="20"/>
        </w:rPr>
      </w:pPr>
      <w:r w:rsidRPr="001D529A">
        <w:rPr>
          <w:rFonts w:asciiTheme="majorHAnsi" w:hAnsiTheme="majorHAnsi" w:cstheme="majorHAnsi"/>
          <w:szCs w:val="20"/>
        </w:rPr>
        <w:t xml:space="preserve">Develop a process for regular, consistent progress monitoring on </w:t>
      </w:r>
      <w:r w:rsidR="009F461F" w:rsidRPr="001D529A">
        <w:rPr>
          <w:rFonts w:asciiTheme="majorHAnsi" w:hAnsiTheme="majorHAnsi" w:cstheme="majorHAnsi"/>
          <w:szCs w:val="20"/>
        </w:rPr>
        <w:t>three-year</w:t>
      </w:r>
      <w:r w:rsidR="009F461F">
        <w:rPr>
          <w:rFonts w:asciiTheme="majorHAnsi" w:hAnsiTheme="majorHAnsi" w:cstheme="majorHAnsi"/>
          <w:szCs w:val="20"/>
        </w:rPr>
        <w:t xml:space="preserve"> plan goals </w:t>
      </w:r>
      <w:r w:rsidRPr="001D529A">
        <w:rPr>
          <w:rFonts w:asciiTheme="majorHAnsi" w:hAnsiTheme="majorHAnsi" w:cstheme="majorHAnsi"/>
          <w:szCs w:val="20"/>
        </w:rPr>
        <w:t>to increase collaboration amongst members to set and track performance targets and student achievement</w:t>
      </w:r>
      <w:r w:rsidR="001D529A">
        <w:rPr>
          <w:rFonts w:asciiTheme="majorHAnsi" w:hAnsiTheme="majorHAnsi" w:cstheme="majorHAnsi"/>
          <w:szCs w:val="20"/>
        </w:rPr>
        <w:t>.</w:t>
      </w:r>
    </w:p>
    <w:p w:rsidR="00C37EAC" w:rsidRPr="001D529A" w:rsidRDefault="00C85CD3">
      <w:pPr>
        <w:numPr>
          <w:ilvl w:val="1"/>
          <w:numId w:val="2"/>
        </w:numPr>
        <w:spacing w:after="0"/>
        <w:rPr>
          <w:rFonts w:asciiTheme="majorHAnsi" w:hAnsiTheme="majorHAnsi" w:cstheme="majorHAnsi"/>
          <w:szCs w:val="20"/>
        </w:rPr>
      </w:pPr>
      <w:r w:rsidRPr="001D529A">
        <w:rPr>
          <w:rFonts w:asciiTheme="majorHAnsi" w:hAnsiTheme="majorHAnsi" w:cstheme="majorHAnsi"/>
          <w:szCs w:val="20"/>
        </w:rPr>
        <w:t>Ensure monthly meeting time to collaborate on performance and achievement</w:t>
      </w:r>
      <w:r w:rsidR="001D529A">
        <w:rPr>
          <w:rFonts w:asciiTheme="majorHAnsi" w:hAnsiTheme="majorHAnsi" w:cstheme="majorHAnsi"/>
          <w:szCs w:val="20"/>
        </w:rPr>
        <w:t>.</w:t>
      </w:r>
    </w:p>
    <w:p w:rsidR="00C37EAC" w:rsidRPr="001D529A" w:rsidRDefault="00C85CD3">
      <w:pPr>
        <w:numPr>
          <w:ilvl w:val="1"/>
          <w:numId w:val="2"/>
        </w:numPr>
        <w:rPr>
          <w:rFonts w:asciiTheme="majorHAnsi" w:hAnsiTheme="majorHAnsi" w:cstheme="majorHAnsi"/>
          <w:szCs w:val="20"/>
        </w:rPr>
      </w:pPr>
      <w:r w:rsidRPr="001D529A">
        <w:rPr>
          <w:rFonts w:asciiTheme="majorHAnsi" w:hAnsiTheme="majorHAnsi" w:cstheme="majorHAnsi"/>
          <w:szCs w:val="20"/>
        </w:rPr>
        <w:t>Regularly review consortium and member data in TOPs and NOVA during monthly meetings</w:t>
      </w:r>
      <w:r w:rsidR="001D529A">
        <w:rPr>
          <w:rFonts w:asciiTheme="majorHAnsi" w:hAnsiTheme="majorHAnsi" w:cstheme="majorHAnsi"/>
          <w:szCs w:val="20"/>
        </w:rPr>
        <w:t>.</w:t>
      </w:r>
    </w:p>
    <w:p w:rsidR="00C37EAC" w:rsidRPr="001D529A" w:rsidRDefault="00C37EAC">
      <w:pPr>
        <w:ind w:left="720"/>
        <w:rPr>
          <w:rFonts w:asciiTheme="majorHAnsi" w:hAnsiTheme="majorHAnsi" w:cstheme="majorHAnsi"/>
          <w:szCs w:val="20"/>
        </w:rPr>
      </w:pPr>
    </w:p>
    <w:p w:rsidR="00C37EAC" w:rsidRPr="001D529A" w:rsidRDefault="00C37EAC">
      <w:pPr>
        <w:pBdr>
          <w:top w:val="nil"/>
          <w:left w:val="nil"/>
          <w:bottom w:val="nil"/>
          <w:right w:val="nil"/>
          <w:between w:val="nil"/>
        </w:pBdr>
        <w:rPr>
          <w:rFonts w:asciiTheme="majorHAnsi" w:hAnsiTheme="majorHAnsi" w:cstheme="majorHAnsi"/>
          <w:szCs w:val="20"/>
        </w:rPr>
      </w:pPr>
    </w:p>
    <w:p w:rsidR="00C37EAC" w:rsidRPr="001D529A" w:rsidRDefault="00C37EAC">
      <w:pPr>
        <w:pStyle w:val="Heading3"/>
        <w:rPr>
          <w:rFonts w:asciiTheme="majorHAnsi" w:eastAsia="Calibri" w:hAnsiTheme="majorHAnsi" w:cstheme="majorHAnsi"/>
          <w:sz w:val="22"/>
          <w:szCs w:val="20"/>
        </w:rPr>
      </w:pPr>
    </w:p>
    <w:p w:rsidR="00C37EAC" w:rsidRPr="001D529A" w:rsidRDefault="00C37EAC">
      <w:pPr>
        <w:pStyle w:val="Heading3"/>
        <w:rPr>
          <w:rFonts w:asciiTheme="majorHAnsi" w:eastAsia="Calibri" w:hAnsiTheme="majorHAnsi" w:cstheme="majorHAnsi"/>
          <w:sz w:val="22"/>
          <w:szCs w:val="20"/>
        </w:rPr>
      </w:pPr>
    </w:p>
    <w:p w:rsidR="00C37EAC" w:rsidRPr="00696B09" w:rsidRDefault="00C85CD3">
      <w:pPr>
        <w:pStyle w:val="Heading3"/>
        <w:rPr>
          <w:rFonts w:asciiTheme="majorHAnsi" w:eastAsia="Calibri" w:hAnsiTheme="majorHAnsi" w:cstheme="majorHAnsi"/>
          <w:sz w:val="20"/>
          <w:szCs w:val="20"/>
        </w:rPr>
      </w:pPr>
      <w:r w:rsidRPr="00696B09">
        <w:rPr>
          <w:rFonts w:asciiTheme="majorHAnsi" w:eastAsia="Calibri" w:hAnsiTheme="majorHAnsi" w:cstheme="majorHAnsi"/>
          <w:sz w:val="20"/>
          <w:szCs w:val="20"/>
        </w:rPr>
        <w:t xml:space="preserve"> </w:t>
      </w:r>
    </w:p>
    <w:p w:rsidR="00C37EAC" w:rsidRPr="00696B09" w:rsidRDefault="00C37EAC">
      <w:pPr>
        <w:pStyle w:val="Heading3"/>
        <w:rPr>
          <w:rFonts w:asciiTheme="majorHAnsi" w:eastAsia="Calibri" w:hAnsiTheme="majorHAnsi" w:cstheme="majorHAnsi"/>
          <w:sz w:val="20"/>
          <w:szCs w:val="20"/>
        </w:rPr>
      </w:pPr>
    </w:p>
    <w:p w:rsidR="00C37EAC" w:rsidRPr="00696B09" w:rsidRDefault="00C85CD3">
      <w:pPr>
        <w:pStyle w:val="Heading3"/>
        <w:rPr>
          <w:rFonts w:asciiTheme="majorHAnsi" w:eastAsia="Calibri" w:hAnsiTheme="majorHAnsi" w:cstheme="majorHAnsi"/>
          <w:sz w:val="20"/>
          <w:szCs w:val="20"/>
        </w:rPr>
      </w:pPr>
      <w:r w:rsidRPr="00696B09">
        <w:rPr>
          <w:rFonts w:asciiTheme="majorHAnsi" w:eastAsia="Calibri" w:hAnsiTheme="majorHAnsi" w:cstheme="majorHAnsi"/>
          <w:sz w:val="20"/>
          <w:szCs w:val="20"/>
        </w:rPr>
        <w:t xml:space="preserve"> </w:t>
      </w:r>
    </w:p>
    <w:p w:rsidR="00C37EAC" w:rsidRPr="00696B09" w:rsidRDefault="00C37EAC">
      <w:pPr>
        <w:pStyle w:val="Heading3"/>
        <w:rPr>
          <w:rFonts w:asciiTheme="majorHAnsi" w:eastAsia="Calibri" w:hAnsiTheme="majorHAnsi" w:cstheme="majorHAnsi"/>
          <w:sz w:val="20"/>
          <w:szCs w:val="20"/>
        </w:rPr>
      </w:pPr>
    </w:p>
    <w:p w:rsidR="00C37EAC" w:rsidRPr="00696B09" w:rsidRDefault="00C85CD3">
      <w:pPr>
        <w:pStyle w:val="Heading3"/>
        <w:rPr>
          <w:rFonts w:asciiTheme="majorHAnsi" w:eastAsia="Calibri" w:hAnsiTheme="majorHAnsi" w:cstheme="majorHAnsi"/>
          <w:sz w:val="20"/>
          <w:szCs w:val="20"/>
        </w:rPr>
      </w:pPr>
      <w:r w:rsidRPr="00696B09">
        <w:rPr>
          <w:rFonts w:asciiTheme="majorHAnsi" w:eastAsia="Calibri" w:hAnsiTheme="majorHAnsi" w:cstheme="majorHAnsi"/>
          <w:sz w:val="20"/>
          <w:szCs w:val="20"/>
        </w:rPr>
        <w:t xml:space="preserve"> </w:t>
      </w:r>
    </w:p>
    <w:p w:rsidR="00C37EAC" w:rsidRPr="00696B09" w:rsidRDefault="00C85CD3">
      <w:pPr>
        <w:pStyle w:val="Heading3"/>
        <w:rPr>
          <w:rFonts w:asciiTheme="majorHAnsi" w:hAnsiTheme="majorHAnsi" w:cstheme="majorHAnsi"/>
          <w:sz w:val="20"/>
          <w:szCs w:val="20"/>
        </w:rPr>
      </w:pPr>
      <w:r w:rsidRPr="00696B09">
        <w:rPr>
          <w:rFonts w:asciiTheme="majorHAnsi" w:hAnsiTheme="majorHAnsi" w:cstheme="majorHAnsi"/>
          <w:sz w:val="20"/>
          <w:szCs w:val="20"/>
        </w:rPr>
        <w:t xml:space="preserve"> </w:t>
      </w:r>
    </w:p>
    <w:p w:rsidR="00C37EAC" w:rsidRPr="00696B09" w:rsidRDefault="00C37EAC">
      <w:pPr>
        <w:pStyle w:val="Heading3"/>
        <w:rPr>
          <w:rFonts w:asciiTheme="majorHAnsi" w:hAnsiTheme="majorHAnsi" w:cstheme="majorHAnsi"/>
          <w:sz w:val="20"/>
          <w:szCs w:val="20"/>
        </w:rPr>
      </w:pPr>
    </w:p>
    <w:p w:rsidR="00C37EAC" w:rsidRDefault="00C85CD3">
      <w:pPr>
        <w:widowControl w:val="0"/>
        <w:pBdr>
          <w:top w:val="nil"/>
          <w:left w:val="nil"/>
          <w:bottom w:val="nil"/>
          <w:right w:val="nil"/>
          <w:between w:val="nil"/>
        </w:pBdr>
        <w:spacing w:after="0"/>
        <w:rPr>
          <w:sz w:val="20"/>
          <w:szCs w:val="20"/>
        </w:rPr>
        <w:sectPr w:rsidR="00C37EAC" w:rsidSect="005E61E9">
          <w:pgSz w:w="12240" w:h="15840"/>
          <w:pgMar w:top="1739" w:right="1440" w:bottom="1440" w:left="1440" w:header="720" w:footer="720" w:gutter="0"/>
          <w:cols w:space="720"/>
        </w:sectPr>
      </w:pPr>
      <w:r w:rsidRPr="00696B09">
        <w:rPr>
          <w:rFonts w:asciiTheme="majorHAnsi" w:hAnsiTheme="majorHAnsi" w:cstheme="majorHAnsi"/>
        </w:rPr>
        <w:br w:type="page"/>
      </w:r>
    </w:p>
    <w:p w:rsidR="00C37EAC" w:rsidRDefault="00C85CD3">
      <w:pPr>
        <w:pStyle w:val="Heading3"/>
      </w:pPr>
      <w:bookmarkStart w:id="20" w:name="_3j2qqm3" w:colFirst="0" w:colLast="0"/>
      <w:bookmarkEnd w:id="20"/>
      <w:r>
        <w:lastRenderedPageBreak/>
        <w:br/>
        <w:t>Figure 1. Logic Model</w:t>
      </w:r>
    </w:p>
    <w:p w:rsidR="00C37EAC" w:rsidRDefault="00C85CD3">
      <w:pPr>
        <w:spacing w:after="0"/>
        <w:rPr>
          <w:rFonts w:ascii="Calibri" w:eastAsia="Calibri" w:hAnsi="Calibri" w:cs="Calibri"/>
          <w:color w:val="0432FF"/>
          <w:sz w:val="20"/>
          <w:szCs w:val="20"/>
        </w:rPr>
      </w:pPr>
      <w:r>
        <w:t xml:space="preserve">Goal Statement: </w:t>
      </w:r>
      <w:r>
        <w:rPr>
          <w:rFonts w:ascii="Calibri" w:eastAsia="Calibri" w:hAnsi="Calibri" w:cs="Calibri"/>
          <w:color w:val="04326C"/>
          <w:sz w:val="20"/>
          <w:szCs w:val="20"/>
        </w:rPr>
        <w:t> </w:t>
      </w:r>
      <w:r>
        <w:rPr>
          <w:rFonts w:ascii="Calibri" w:eastAsia="Calibri" w:hAnsi="Calibri" w:cs="Calibri"/>
          <w:color w:val="04326C"/>
          <w:sz w:val="20"/>
          <w:szCs w:val="20"/>
        </w:rPr>
        <w:t xml:space="preserve">SOCRC seeks to continually improve its programs and services to meet interests of its communities served including improvements in </w:t>
      </w:r>
      <w:proofErr w:type="gramStart"/>
      <w:r>
        <w:rPr>
          <w:rFonts w:ascii="Calibri" w:eastAsia="Calibri" w:hAnsi="Calibri" w:cs="Calibri"/>
          <w:color w:val="04326C"/>
          <w:sz w:val="20"/>
          <w:szCs w:val="20"/>
        </w:rPr>
        <w:t>5</w:t>
      </w:r>
      <w:proofErr w:type="gramEnd"/>
      <w:r>
        <w:rPr>
          <w:rFonts w:ascii="Calibri" w:eastAsia="Calibri" w:hAnsi="Calibri" w:cs="Calibri"/>
          <w:color w:val="04326C"/>
          <w:sz w:val="20"/>
          <w:szCs w:val="20"/>
        </w:rPr>
        <w:t xml:space="preserve"> goal areas: Capacity, Connection, Entry, Progress, and Completion/Transition.  We seek to accomplish these goals through unsurpassed collaboration and partnership keeping the interests and needs of our communities at the forefront.    </w:t>
      </w:r>
    </w:p>
    <w:p w:rsidR="00C37EAC" w:rsidRDefault="00C85CD3">
      <w:r>
        <w:rPr>
          <w:i/>
          <w:color w:val="757171"/>
          <w:sz w:val="16"/>
          <w:szCs w:val="16"/>
        </w:rPr>
        <w:t>Our overall direction and focus for the program cycle relative to the target populations and problems we seek to address</w:t>
      </w:r>
    </w:p>
    <w:tbl>
      <w:tblPr>
        <w:tblStyle w:val="a1"/>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00" w:firstRow="0" w:lastRow="0" w:firstColumn="0" w:lastColumn="0" w:noHBand="0" w:noVBand="1"/>
      </w:tblPr>
      <w:tblGrid>
        <w:gridCol w:w="2065"/>
        <w:gridCol w:w="2129"/>
        <w:gridCol w:w="2129"/>
        <w:gridCol w:w="2066"/>
        <w:gridCol w:w="2129"/>
        <w:gridCol w:w="2124"/>
      </w:tblGrid>
      <w:tr w:rsidR="00C37EAC" w:rsidTr="001F2409">
        <w:tc>
          <w:tcPr>
            <w:tcW w:w="817" w:type="pct"/>
            <w:shd w:val="clear" w:color="auto" w:fill="002060"/>
            <w:vAlign w:val="center"/>
          </w:tcPr>
          <w:p w:rsidR="00C37EAC" w:rsidRDefault="00C85CD3">
            <w:pPr>
              <w:spacing w:after="0" w:line="240" w:lineRule="auto"/>
              <w:jc w:val="center"/>
              <w:rPr>
                <w:b/>
                <w:color w:val="FFFFFF"/>
                <w:sz w:val="18"/>
                <w:szCs w:val="18"/>
              </w:rPr>
            </w:pPr>
            <w:r>
              <w:rPr>
                <w:b/>
                <w:color w:val="FFFFFF"/>
                <w:sz w:val="18"/>
                <w:szCs w:val="18"/>
              </w:rPr>
              <w:t>Inputs</w:t>
            </w:r>
          </w:p>
        </w:tc>
        <w:tc>
          <w:tcPr>
            <w:tcW w:w="842" w:type="pct"/>
            <w:shd w:val="clear" w:color="auto" w:fill="621E7C"/>
            <w:vAlign w:val="center"/>
          </w:tcPr>
          <w:p w:rsidR="00C37EAC" w:rsidRDefault="00C85CD3">
            <w:pPr>
              <w:spacing w:after="0" w:line="240" w:lineRule="auto"/>
              <w:jc w:val="center"/>
              <w:rPr>
                <w:b/>
                <w:color w:val="FFFFFF"/>
                <w:sz w:val="18"/>
                <w:szCs w:val="18"/>
              </w:rPr>
            </w:pPr>
            <w:r>
              <w:rPr>
                <w:b/>
                <w:color w:val="FFFFFF"/>
                <w:sz w:val="18"/>
                <w:szCs w:val="18"/>
              </w:rPr>
              <w:t>Activities</w:t>
            </w:r>
          </w:p>
        </w:tc>
        <w:tc>
          <w:tcPr>
            <w:tcW w:w="842" w:type="pct"/>
            <w:shd w:val="clear" w:color="auto" w:fill="903F6C"/>
            <w:vAlign w:val="center"/>
          </w:tcPr>
          <w:p w:rsidR="00C37EAC" w:rsidRDefault="00C85CD3">
            <w:pPr>
              <w:spacing w:after="0" w:line="240" w:lineRule="auto"/>
              <w:jc w:val="center"/>
              <w:rPr>
                <w:b/>
                <w:color w:val="FFFFFF"/>
                <w:sz w:val="18"/>
                <w:szCs w:val="18"/>
              </w:rPr>
            </w:pPr>
            <w:r>
              <w:rPr>
                <w:b/>
                <w:color w:val="FFFFFF"/>
                <w:sz w:val="18"/>
                <w:szCs w:val="18"/>
              </w:rPr>
              <w:t>Outputs</w:t>
            </w:r>
          </w:p>
        </w:tc>
        <w:tc>
          <w:tcPr>
            <w:tcW w:w="817" w:type="pct"/>
            <w:shd w:val="clear" w:color="auto" w:fill="B76059"/>
            <w:vAlign w:val="center"/>
          </w:tcPr>
          <w:p w:rsidR="00C37EAC" w:rsidRDefault="00C85CD3">
            <w:pPr>
              <w:spacing w:after="0" w:line="240" w:lineRule="auto"/>
              <w:jc w:val="center"/>
              <w:rPr>
                <w:b/>
                <w:color w:val="FFFFFF"/>
                <w:sz w:val="18"/>
                <w:szCs w:val="18"/>
              </w:rPr>
            </w:pPr>
            <w:r>
              <w:rPr>
                <w:b/>
                <w:color w:val="FFFFFF"/>
                <w:sz w:val="18"/>
                <w:szCs w:val="18"/>
              </w:rPr>
              <w:t>Immediate (Short-Term) Outcomes</w:t>
            </w:r>
          </w:p>
        </w:tc>
        <w:tc>
          <w:tcPr>
            <w:tcW w:w="842" w:type="pct"/>
            <w:shd w:val="clear" w:color="auto" w:fill="DB8240"/>
            <w:vAlign w:val="center"/>
          </w:tcPr>
          <w:p w:rsidR="00C37EAC" w:rsidRDefault="00C85CD3">
            <w:pPr>
              <w:spacing w:after="0" w:line="240" w:lineRule="auto"/>
              <w:jc w:val="center"/>
              <w:rPr>
                <w:b/>
                <w:color w:val="FFFFFF"/>
                <w:sz w:val="18"/>
                <w:szCs w:val="18"/>
              </w:rPr>
            </w:pPr>
            <w:r>
              <w:rPr>
                <w:b/>
                <w:color w:val="FFFFFF"/>
                <w:sz w:val="18"/>
                <w:szCs w:val="18"/>
              </w:rPr>
              <w:t>Intermediate Outcomes</w:t>
            </w:r>
          </w:p>
        </w:tc>
        <w:tc>
          <w:tcPr>
            <w:tcW w:w="842" w:type="pct"/>
            <w:shd w:val="clear" w:color="auto" w:fill="FFA500"/>
            <w:vAlign w:val="center"/>
          </w:tcPr>
          <w:p w:rsidR="00C37EAC" w:rsidRDefault="00C85CD3">
            <w:pPr>
              <w:spacing w:after="0" w:line="240" w:lineRule="auto"/>
              <w:jc w:val="center"/>
              <w:rPr>
                <w:b/>
                <w:color w:val="FFFFFF"/>
                <w:sz w:val="18"/>
                <w:szCs w:val="18"/>
              </w:rPr>
            </w:pPr>
            <w:r>
              <w:rPr>
                <w:b/>
                <w:color w:val="FFFFFF"/>
                <w:sz w:val="18"/>
                <w:szCs w:val="18"/>
              </w:rPr>
              <w:t>Long-Term Outcomes / Impact</w:t>
            </w:r>
          </w:p>
        </w:tc>
      </w:tr>
      <w:tr w:rsidR="00C37EAC" w:rsidTr="001F2409">
        <w:trPr>
          <w:trHeight w:val="180"/>
        </w:trPr>
        <w:tc>
          <w:tcPr>
            <w:tcW w:w="817" w:type="pct"/>
            <w:shd w:val="clear" w:color="auto" w:fill="auto"/>
          </w:tcPr>
          <w:p w:rsidR="00C37EAC" w:rsidRDefault="00C85CD3">
            <w:pPr>
              <w:spacing w:after="0" w:line="240" w:lineRule="auto"/>
              <w:jc w:val="center"/>
              <w:rPr>
                <w:i/>
                <w:color w:val="757171"/>
                <w:sz w:val="12"/>
                <w:szCs w:val="12"/>
              </w:rPr>
            </w:pPr>
            <w:r>
              <w:rPr>
                <w:i/>
                <w:color w:val="757171"/>
                <w:sz w:val="12"/>
                <w:szCs w:val="12"/>
              </w:rPr>
              <w:t>In order to accomplish our set of activities we will need the following:</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In order to address our problem or asset we will accomplish the following activities:</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once accomplished, these activities will produce the following evidence or service delivery:</w:t>
            </w:r>
          </w:p>
        </w:tc>
        <w:tc>
          <w:tcPr>
            <w:tcW w:w="817"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if accomplished these activities will lead to the following changes in the next year</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if accomplished these activities will lead to the following changes in 1-3 years</w:t>
            </w:r>
          </w:p>
        </w:tc>
        <w:tc>
          <w:tcPr>
            <w:tcW w:w="842" w:type="pct"/>
            <w:shd w:val="clear" w:color="auto" w:fill="auto"/>
          </w:tcPr>
          <w:p w:rsidR="00C37EAC" w:rsidRDefault="00C85CD3">
            <w:pPr>
              <w:spacing w:after="0" w:line="240" w:lineRule="auto"/>
              <w:jc w:val="center"/>
              <w:rPr>
                <w:i/>
                <w:color w:val="757171"/>
                <w:sz w:val="12"/>
                <w:szCs w:val="12"/>
              </w:rPr>
            </w:pPr>
            <w:r>
              <w:rPr>
                <w:i/>
                <w:color w:val="757171"/>
                <w:sz w:val="12"/>
                <w:szCs w:val="12"/>
              </w:rPr>
              <w:t>We expect that if accomplished these activities will lead to the following changes in 3-5 years</w:t>
            </w:r>
          </w:p>
        </w:tc>
      </w:tr>
      <w:tr w:rsidR="00C37EAC" w:rsidTr="00AA6B0F">
        <w:trPr>
          <w:trHeight w:val="1502"/>
        </w:trPr>
        <w:tc>
          <w:tcPr>
            <w:tcW w:w="817" w:type="pct"/>
            <w:shd w:val="clear" w:color="auto" w:fill="auto"/>
          </w:tcPr>
          <w:p w:rsidR="00C37EAC" w:rsidRPr="000404CA" w:rsidRDefault="00C85CD3" w:rsidP="000404CA">
            <w:pPr>
              <w:pStyle w:val="ListParagraph"/>
              <w:numPr>
                <w:ilvl w:val="0"/>
                <w:numId w:val="21"/>
              </w:numPr>
              <w:rPr>
                <w:rFonts w:ascii="Calibri" w:eastAsia="Calibri" w:hAnsi="Calibri" w:cs="Calibri"/>
                <w:color w:val="04326C"/>
                <w:sz w:val="20"/>
                <w:szCs w:val="20"/>
              </w:rPr>
            </w:pPr>
            <w:r w:rsidRPr="000404CA">
              <w:rPr>
                <w:rFonts w:ascii="Calibri" w:eastAsia="Calibri" w:hAnsi="Calibri" w:cs="Calibri"/>
                <w:color w:val="04326C"/>
                <w:sz w:val="20"/>
                <w:szCs w:val="20"/>
              </w:rPr>
              <w:t>Increased and focused dial</w:t>
            </w:r>
            <w:r w:rsidR="001D529A" w:rsidRPr="000404CA">
              <w:rPr>
                <w:rFonts w:ascii="Calibri" w:eastAsia="Calibri" w:hAnsi="Calibri" w:cs="Calibri"/>
                <w:color w:val="04326C"/>
                <w:sz w:val="20"/>
                <w:szCs w:val="20"/>
              </w:rPr>
              <w:t>ogue amongst members to ensure</w:t>
            </w:r>
            <w:r w:rsidRPr="000404CA">
              <w:rPr>
                <w:rFonts w:ascii="Calibri" w:eastAsia="Calibri" w:hAnsi="Calibri" w:cs="Calibri"/>
                <w:color w:val="04326C"/>
                <w:sz w:val="20"/>
                <w:szCs w:val="20"/>
              </w:rPr>
              <w:t xml:space="preserve"> colla</w:t>
            </w:r>
            <w:r w:rsidR="001D529A" w:rsidRPr="000404CA">
              <w:rPr>
                <w:rFonts w:ascii="Calibri" w:eastAsia="Calibri" w:hAnsi="Calibri" w:cs="Calibri"/>
                <w:color w:val="04326C"/>
                <w:sz w:val="20"/>
                <w:szCs w:val="20"/>
              </w:rPr>
              <w:t>boration</w:t>
            </w:r>
          </w:p>
          <w:p w:rsidR="00C37EAC" w:rsidRDefault="00C37EAC">
            <w:pPr>
              <w:spacing w:after="0" w:line="240" w:lineRule="auto"/>
              <w:rPr>
                <w:rFonts w:ascii="Calibri" w:eastAsia="Calibri" w:hAnsi="Calibri" w:cs="Calibri"/>
                <w:color w:val="04326C"/>
                <w:sz w:val="20"/>
                <w:szCs w:val="20"/>
              </w:rPr>
            </w:pPr>
          </w:p>
          <w:p w:rsidR="00C37EAC" w:rsidRPr="000404CA" w:rsidRDefault="00C85CD3" w:rsidP="000404CA">
            <w:pPr>
              <w:pStyle w:val="ListParagraph"/>
              <w:numPr>
                <w:ilvl w:val="0"/>
                <w:numId w:val="21"/>
              </w:numPr>
              <w:rPr>
                <w:rFonts w:ascii="Calibri" w:eastAsia="Calibri" w:hAnsi="Calibri" w:cs="Calibri"/>
                <w:color w:val="04326C"/>
                <w:sz w:val="20"/>
                <w:szCs w:val="20"/>
              </w:rPr>
            </w:pPr>
            <w:r w:rsidRPr="000404CA">
              <w:rPr>
                <w:rFonts w:ascii="Calibri" w:eastAsia="Calibri" w:hAnsi="Calibri" w:cs="Calibri"/>
                <w:color w:val="04326C"/>
                <w:sz w:val="20"/>
                <w:szCs w:val="20"/>
              </w:rPr>
              <w:t>Commitment from all members to engage in ongoing growth</w:t>
            </w:r>
          </w:p>
          <w:p w:rsidR="00C37EAC" w:rsidRDefault="00C37EAC">
            <w:pPr>
              <w:spacing w:after="0" w:line="240" w:lineRule="auto"/>
              <w:rPr>
                <w:rFonts w:ascii="Calibri" w:eastAsia="Calibri" w:hAnsi="Calibri" w:cs="Calibri"/>
                <w:color w:val="04326C"/>
                <w:sz w:val="20"/>
                <w:szCs w:val="20"/>
              </w:rPr>
            </w:pPr>
          </w:p>
          <w:p w:rsidR="00C37EAC" w:rsidRPr="000404CA" w:rsidRDefault="00C85CD3" w:rsidP="000404CA">
            <w:pPr>
              <w:pStyle w:val="ListParagraph"/>
              <w:numPr>
                <w:ilvl w:val="0"/>
                <w:numId w:val="21"/>
              </w:numPr>
              <w:rPr>
                <w:rFonts w:ascii="Calibri" w:eastAsia="Calibri" w:hAnsi="Calibri" w:cs="Calibri"/>
                <w:color w:val="04326C"/>
                <w:sz w:val="20"/>
                <w:szCs w:val="20"/>
              </w:rPr>
            </w:pPr>
            <w:r w:rsidRPr="000404CA">
              <w:rPr>
                <w:rFonts w:ascii="Calibri" w:eastAsia="Calibri" w:hAnsi="Calibri" w:cs="Calibri"/>
                <w:color w:val="04326C"/>
                <w:sz w:val="20"/>
                <w:szCs w:val="20"/>
              </w:rPr>
              <w:t>Monthly collaboration time with members to engage in activities related to goals</w:t>
            </w:r>
          </w:p>
        </w:tc>
        <w:tc>
          <w:tcPr>
            <w:tcW w:w="842" w:type="pct"/>
            <w:shd w:val="clear" w:color="auto" w:fill="auto"/>
          </w:tcPr>
          <w:p w:rsidR="00C37EAC" w:rsidRPr="00AA6B0F" w:rsidRDefault="00843E5E">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 xml:space="preserve">Revise </w:t>
            </w:r>
            <w:r w:rsidR="00C85CD3" w:rsidRPr="00AA6B0F">
              <w:rPr>
                <w:rFonts w:ascii="Calibri" w:eastAsia="Calibri" w:hAnsi="Calibri" w:cs="Calibri"/>
                <w:color w:val="04326C"/>
                <w:sz w:val="18"/>
                <w:szCs w:val="20"/>
              </w:rPr>
              <w:t xml:space="preserve">SOCRC governance and </w:t>
            </w:r>
            <w:r w:rsidRPr="00AA6B0F">
              <w:rPr>
                <w:rFonts w:ascii="Calibri" w:eastAsia="Calibri" w:hAnsi="Calibri" w:cs="Calibri"/>
                <w:color w:val="04326C"/>
                <w:sz w:val="18"/>
                <w:szCs w:val="20"/>
              </w:rPr>
              <w:t xml:space="preserve">create </w:t>
            </w:r>
            <w:r w:rsidR="00C85CD3" w:rsidRPr="00AA6B0F">
              <w:rPr>
                <w:rFonts w:ascii="Calibri" w:eastAsia="Calibri" w:hAnsi="Calibri" w:cs="Calibri"/>
                <w:color w:val="04326C"/>
                <w:sz w:val="18"/>
                <w:szCs w:val="20"/>
              </w:rPr>
              <w:t>bylaws</w:t>
            </w:r>
          </w:p>
          <w:p w:rsidR="00C37EAC" w:rsidRPr="00AA6B0F" w:rsidRDefault="00C37EAC">
            <w:pPr>
              <w:spacing w:after="0" w:line="240" w:lineRule="auto"/>
              <w:rPr>
                <w:rFonts w:ascii="Calibri" w:eastAsia="Calibri" w:hAnsi="Calibri" w:cs="Calibri"/>
                <w:color w:val="04326C"/>
                <w:sz w:val="18"/>
                <w:szCs w:val="20"/>
              </w:rPr>
            </w:pPr>
          </w:p>
          <w:p w:rsidR="00C37EAC" w:rsidRPr="00AA6B0F" w:rsidRDefault="00C37EAC">
            <w:pPr>
              <w:spacing w:after="0" w:line="240" w:lineRule="auto"/>
              <w:rPr>
                <w:rFonts w:ascii="Calibri" w:eastAsia="Calibri" w:hAnsi="Calibri" w:cs="Calibri"/>
                <w:color w:val="04326C"/>
                <w:sz w:val="18"/>
                <w:szCs w:val="20"/>
              </w:rPr>
            </w:pPr>
          </w:p>
          <w:p w:rsidR="000404CA" w:rsidRPr="00AA6B0F" w:rsidRDefault="000404CA">
            <w:pPr>
              <w:spacing w:after="0" w:line="240" w:lineRule="auto"/>
              <w:rPr>
                <w:rFonts w:ascii="Calibri" w:eastAsia="Calibri" w:hAnsi="Calibri" w:cs="Calibri"/>
                <w:color w:val="04326C"/>
                <w:sz w:val="18"/>
                <w:szCs w:val="20"/>
              </w:rPr>
            </w:pPr>
          </w:p>
          <w:p w:rsidR="000404CA" w:rsidRPr="00AA6B0F" w:rsidRDefault="000404CA">
            <w:pPr>
              <w:spacing w:after="0" w:line="240" w:lineRule="auto"/>
              <w:rPr>
                <w:rFonts w:ascii="Calibri" w:eastAsia="Calibri" w:hAnsi="Calibri" w:cs="Calibri"/>
                <w:color w:val="04326C"/>
                <w:sz w:val="18"/>
                <w:szCs w:val="20"/>
              </w:rPr>
            </w:pPr>
          </w:p>
          <w:p w:rsidR="000404CA"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noProof/>
                <w:color w:val="04326C"/>
                <w:sz w:val="18"/>
                <w:szCs w:val="20"/>
              </w:rPr>
              <mc:AlternateContent>
                <mc:Choice Requires="wps">
                  <w:drawing>
                    <wp:anchor distT="0" distB="0" distL="114300" distR="114300" simplePos="0" relativeHeight="251661312" behindDoc="0" locked="0" layoutInCell="1" allowOverlap="1" wp14:anchorId="4801FB57" wp14:editId="0F1422A2">
                      <wp:simplePos x="0" y="0"/>
                      <wp:positionH relativeFrom="column">
                        <wp:posOffset>-41574</wp:posOffset>
                      </wp:positionH>
                      <wp:positionV relativeFrom="paragraph">
                        <wp:posOffset>43180</wp:posOffset>
                      </wp:positionV>
                      <wp:extent cx="6699624" cy="11953"/>
                      <wp:effectExtent l="38100" t="38100" r="63500" b="83820"/>
                      <wp:wrapNone/>
                      <wp:docPr id="4" name="Straight Connector 4"/>
                      <wp:cNvGraphicFramePr/>
                      <a:graphic xmlns:a="http://schemas.openxmlformats.org/drawingml/2006/main">
                        <a:graphicData uri="http://schemas.microsoft.com/office/word/2010/wordprocessingShape">
                          <wps:wsp>
                            <wps:cNvCnPr/>
                            <wps:spPr>
                              <a:xfrm>
                                <a:off x="0" y="0"/>
                                <a:ext cx="6699624" cy="1195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AFCAF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5pt,3.4pt" to="52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" strokecolor="#4f81bd [3204]" strokeweight="2pt">
                      <v:shadow on="t" color="black" opacity="24903f" origin=",.5" offset="0,.55556mm"/>
                    </v:line>
                  </w:pict>
                </mc:Fallback>
              </mc:AlternateContent>
            </w:r>
          </w:p>
          <w:p w:rsidR="000404CA" w:rsidRPr="00AA6B0F" w:rsidRDefault="009F1285">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 xml:space="preserve">Develop </w:t>
            </w:r>
            <w:r w:rsidR="00AB32DC" w:rsidRPr="00AA6B0F">
              <w:rPr>
                <w:rFonts w:ascii="Calibri" w:eastAsia="Calibri" w:hAnsi="Calibri" w:cs="Calibri"/>
                <w:color w:val="04326C"/>
                <w:sz w:val="18"/>
                <w:szCs w:val="20"/>
              </w:rPr>
              <w:t>a consortium-wide program roadmap that provides many paths to success using the sample from SCAE</w:t>
            </w:r>
          </w:p>
          <w:p w:rsidR="00C37EAC" w:rsidRPr="00AA6B0F" w:rsidRDefault="00AA6B0F">
            <w:pPr>
              <w:spacing w:after="0" w:line="240" w:lineRule="auto"/>
              <w:rPr>
                <w:rFonts w:ascii="Calibri" w:eastAsia="Calibri" w:hAnsi="Calibri" w:cs="Calibri"/>
                <w:color w:val="04326C"/>
                <w:sz w:val="18"/>
                <w:szCs w:val="20"/>
              </w:rPr>
            </w:pPr>
            <w:r>
              <w:rPr>
                <w:rFonts w:ascii="Calibri" w:eastAsia="Calibri" w:hAnsi="Calibri" w:cs="Calibri"/>
                <w:noProof/>
                <w:color w:val="04326C"/>
                <w:sz w:val="20"/>
                <w:szCs w:val="20"/>
              </w:rPr>
              <mc:AlternateContent>
                <mc:Choice Requires="wps">
                  <w:drawing>
                    <wp:anchor distT="0" distB="0" distL="114300" distR="114300" simplePos="0" relativeHeight="251662336" behindDoc="0" locked="0" layoutInCell="1" allowOverlap="1">
                      <wp:simplePos x="0" y="0"/>
                      <wp:positionH relativeFrom="column">
                        <wp:posOffset>-32759</wp:posOffset>
                      </wp:positionH>
                      <wp:positionV relativeFrom="paragraph">
                        <wp:posOffset>91552</wp:posOffset>
                      </wp:positionV>
                      <wp:extent cx="6705600" cy="11953"/>
                      <wp:effectExtent l="38100" t="38100" r="76200" b="83820"/>
                      <wp:wrapNone/>
                      <wp:docPr id="5" name="Straight Connector 5"/>
                      <wp:cNvGraphicFramePr/>
                      <a:graphic xmlns:a="http://schemas.openxmlformats.org/drawingml/2006/main">
                        <a:graphicData uri="http://schemas.microsoft.com/office/word/2010/wordprocessingShape">
                          <wps:wsp>
                            <wps:cNvCnPr/>
                            <wps:spPr>
                              <a:xfrm flipV="1">
                                <a:off x="0" y="0"/>
                                <a:ext cx="6705600" cy="1195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C2A774"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6pt,7.2pt" to="52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" strokecolor="#4f81bd [3204]" strokeweight="2pt">
                      <v:shadow on="t" color="black" opacity="24903f" origin=",.5" offset="0,.55556mm"/>
                    </v:line>
                  </w:pict>
                </mc:Fallback>
              </mc:AlternateContent>
            </w: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Create an articulation plan among the various programs offered within the consortium</w:t>
            </w: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CF4815">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Create a tool to use to report completion from each member that is shared throughout consortium</w:t>
            </w:r>
          </w:p>
        </w:tc>
        <w:tc>
          <w:tcPr>
            <w:tcW w:w="842" w:type="pct"/>
            <w:shd w:val="clear" w:color="auto" w:fill="auto"/>
          </w:tcPr>
          <w:p w:rsidR="00C37EAC" w:rsidRPr="00AA6B0F" w:rsidRDefault="00C85CD3">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New SOCRC governance and bylaw documents to ensure effective consortium engagement, activitie</w:t>
            </w:r>
            <w:r w:rsidR="001D529A" w:rsidRPr="00AA6B0F">
              <w:rPr>
                <w:rFonts w:ascii="Calibri" w:eastAsia="Calibri" w:hAnsi="Calibri" w:cs="Calibri"/>
                <w:color w:val="04326C"/>
                <w:sz w:val="18"/>
                <w:szCs w:val="20"/>
              </w:rPr>
              <w:t>s, monitoring, and productivity</w:t>
            </w:r>
          </w:p>
          <w:p w:rsidR="00AB32DC" w:rsidRPr="00AA6B0F" w:rsidRDefault="00AB32DC">
            <w:pPr>
              <w:spacing w:after="0" w:line="240" w:lineRule="auto"/>
              <w:rPr>
                <w:rFonts w:ascii="Calibri" w:eastAsia="Calibri" w:hAnsi="Calibri" w:cs="Calibri"/>
                <w:color w:val="04326C"/>
                <w:sz w:val="18"/>
                <w:szCs w:val="20"/>
              </w:rPr>
            </w:pPr>
          </w:p>
          <w:p w:rsidR="00C37EAC"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SOCRC will have its own consortium-wide program roadmap</w:t>
            </w:r>
          </w:p>
          <w:p w:rsidR="00C37EAC" w:rsidRPr="00AA6B0F" w:rsidRDefault="00C37EAC">
            <w:pPr>
              <w:spacing w:after="0" w:line="240" w:lineRule="auto"/>
              <w:rPr>
                <w:rFonts w:ascii="Calibri" w:eastAsia="Calibri" w:hAnsi="Calibri" w:cs="Calibri"/>
                <w:color w:val="04326C"/>
                <w:sz w:val="18"/>
                <w:szCs w:val="20"/>
              </w:rPr>
            </w:pPr>
          </w:p>
          <w:p w:rsidR="00C37EAC" w:rsidRPr="00AA6B0F" w:rsidRDefault="00C37EA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p>
          <w:p w:rsidR="00AB32DC" w:rsidRPr="00AA6B0F" w:rsidRDefault="00AB32DC">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SOCRC will have an articulation plan and a common learning plan document</w:t>
            </w:r>
          </w:p>
          <w:p w:rsidR="00CF4815" w:rsidRPr="00AA6B0F" w:rsidRDefault="00AA6B0F">
            <w:pPr>
              <w:spacing w:after="0" w:line="240" w:lineRule="auto"/>
              <w:rPr>
                <w:rFonts w:ascii="Calibri" w:eastAsia="Calibri" w:hAnsi="Calibri" w:cs="Calibri"/>
                <w:color w:val="04326C"/>
                <w:sz w:val="18"/>
                <w:szCs w:val="20"/>
              </w:rPr>
            </w:pPr>
            <w:r>
              <w:rPr>
                <w:rFonts w:ascii="Calibri" w:eastAsia="Calibri" w:hAnsi="Calibri" w:cs="Calibri"/>
                <w:noProof/>
                <w:color w:val="04326C"/>
                <w:sz w:val="20"/>
                <w:szCs w:val="20"/>
              </w:rPr>
              <mc:AlternateContent>
                <mc:Choice Requires="wps">
                  <w:drawing>
                    <wp:anchor distT="0" distB="0" distL="114300" distR="114300" simplePos="0" relativeHeight="251663360" behindDoc="0" locked="0" layoutInCell="1" allowOverlap="1">
                      <wp:simplePos x="0" y="0"/>
                      <wp:positionH relativeFrom="column">
                        <wp:posOffset>-1378959</wp:posOffset>
                      </wp:positionH>
                      <wp:positionV relativeFrom="paragraph">
                        <wp:posOffset>258819</wp:posOffset>
                      </wp:positionV>
                      <wp:extent cx="6699623" cy="5976"/>
                      <wp:effectExtent l="38100" t="38100" r="63500" b="89535"/>
                      <wp:wrapNone/>
                      <wp:docPr id="6" name="Straight Connector 6"/>
                      <wp:cNvGraphicFramePr/>
                      <a:graphic xmlns:a="http://schemas.openxmlformats.org/drawingml/2006/main">
                        <a:graphicData uri="http://schemas.microsoft.com/office/word/2010/wordprocessingShape">
                          <wps:wsp>
                            <wps:cNvCnPr/>
                            <wps:spPr>
                              <a:xfrm flipV="1">
                                <a:off x="0" y="0"/>
                                <a:ext cx="6699623" cy="597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4C388D"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8.6pt,20.4pt" to="418.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" strokecolor="#4f81bd [3204]" strokeweight="2pt">
                      <v:shadow on="t" color="black" opacity="24903f" origin=",.5" offset="0,.55556mm"/>
                    </v:line>
                  </w:pict>
                </mc:Fallback>
              </mc:AlternateContent>
            </w:r>
          </w:p>
          <w:p w:rsidR="00CF4815" w:rsidRPr="00AA6B0F" w:rsidRDefault="00CF4815">
            <w:pPr>
              <w:spacing w:after="0" w:line="240" w:lineRule="auto"/>
              <w:rPr>
                <w:rFonts w:ascii="Calibri" w:eastAsia="Calibri" w:hAnsi="Calibri" w:cs="Calibri"/>
                <w:color w:val="04326C"/>
                <w:sz w:val="18"/>
                <w:szCs w:val="20"/>
              </w:rPr>
            </w:pPr>
          </w:p>
          <w:p w:rsidR="00CF4815" w:rsidRPr="00AA6B0F" w:rsidRDefault="00CF4815">
            <w:pPr>
              <w:spacing w:after="0" w:line="240" w:lineRule="auto"/>
              <w:rPr>
                <w:rFonts w:ascii="Calibri" w:eastAsia="Calibri" w:hAnsi="Calibri" w:cs="Calibri"/>
                <w:color w:val="04326C"/>
                <w:sz w:val="18"/>
                <w:szCs w:val="20"/>
              </w:rPr>
            </w:pPr>
          </w:p>
          <w:p w:rsidR="00CF4815" w:rsidRPr="00AA6B0F" w:rsidRDefault="00CF4815">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 xml:space="preserve">Common data collection tool used by all members and analyzed systematically and continually </w:t>
            </w:r>
          </w:p>
        </w:tc>
        <w:tc>
          <w:tcPr>
            <w:tcW w:w="817" w:type="pct"/>
            <w:shd w:val="clear" w:color="auto" w:fill="auto"/>
          </w:tcPr>
          <w:p w:rsidR="00E658F3" w:rsidRPr="00AA6B0F" w:rsidRDefault="00E658F3" w:rsidP="00E658F3">
            <w:pPr>
              <w:spacing w:after="0" w:line="240" w:lineRule="auto"/>
              <w:rPr>
                <w:rFonts w:ascii="Calibri" w:eastAsia="Calibri" w:hAnsi="Calibri" w:cs="Calibri"/>
                <w:color w:val="04326C"/>
                <w:sz w:val="18"/>
                <w:szCs w:val="20"/>
              </w:rPr>
            </w:pPr>
            <w:r w:rsidRPr="00AA6B0F">
              <w:rPr>
                <w:rFonts w:ascii="Calibri" w:eastAsia="Calibri" w:hAnsi="Calibri" w:cs="Calibri"/>
                <w:color w:val="04326C"/>
                <w:sz w:val="18"/>
                <w:szCs w:val="20"/>
              </w:rPr>
              <w:t>A new SOCRC governance and byla</w:t>
            </w:r>
            <w:r w:rsidR="001D529A" w:rsidRPr="00AA6B0F">
              <w:rPr>
                <w:rFonts w:ascii="Calibri" w:eastAsia="Calibri" w:hAnsi="Calibri" w:cs="Calibri"/>
                <w:color w:val="04326C"/>
                <w:sz w:val="18"/>
                <w:szCs w:val="20"/>
              </w:rPr>
              <w:t>w document will be written by October 2019</w:t>
            </w:r>
          </w:p>
          <w:p w:rsidR="00E658F3" w:rsidRPr="00AA6B0F" w:rsidRDefault="00E658F3" w:rsidP="00E658F3">
            <w:pPr>
              <w:spacing w:after="0" w:line="240" w:lineRule="auto"/>
              <w:rPr>
                <w:rFonts w:ascii="Calibri" w:eastAsia="Calibri" w:hAnsi="Calibri" w:cs="Calibri"/>
                <w:color w:val="04326C"/>
                <w:sz w:val="18"/>
                <w:szCs w:val="20"/>
              </w:rPr>
            </w:pPr>
          </w:p>
          <w:p w:rsidR="00A95EB1" w:rsidRPr="00AA6B0F" w:rsidRDefault="00A95EB1" w:rsidP="00A95EB1">
            <w:pPr>
              <w:spacing w:after="0" w:line="240" w:lineRule="auto"/>
              <w:rPr>
                <w:rFonts w:ascii="Calibri" w:eastAsia="Calibri" w:hAnsi="Calibri" w:cs="Calibri"/>
                <w:color w:val="04326C"/>
                <w:sz w:val="18"/>
                <w:szCs w:val="20"/>
              </w:rPr>
            </w:pPr>
          </w:p>
          <w:p w:rsidR="00C37EAC" w:rsidRPr="00AA6B0F" w:rsidRDefault="00C37EAC">
            <w:pPr>
              <w:spacing w:after="0" w:line="240" w:lineRule="auto"/>
              <w:rPr>
                <w:rFonts w:ascii="Arial" w:eastAsia="Arial" w:hAnsi="Arial" w:cs="Arial"/>
                <w:i/>
                <w:color w:val="757171"/>
                <w:sz w:val="18"/>
                <w:szCs w:val="12"/>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Draft Program Roadmap by March 2020 and presentation to consortium by April 2020</w:t>
            </w: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Planning and gathering of information for articulation retreat by October 2020</w:t>
            </w: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757171"/>
                <w:sz w:val="18"/>
                <w:szCs w:val="20"/>
              </w:rPr>
            </w:pPr>
            <w:r w:rsidRPr="00AA6B0F">
              <w:rPr>
                <w:rFonts w:asciiTheme="majorHAnsi" w:eastAsia="Arial" w:hAnsiTheme="majorHAnsi" w:cstheme="majorHAnsi"/>
                <w:color w:val="244061" w:themeColor="accent1" w:themeShade="80"/>
                <w:sz w:val="18"/>
                <w:szCs w:val="20"/>
              </w:rPr>
              <w:t>Determine key indicators the consortium will use by March 2020</w:t>
            </w:r>
          </w:p>
        </w:tc>
        <w:tc>
          <w:tcPr>
            <w:tcW w:w="842" w:type="pct"/>
            <w:shd w:val="clear" w:color="auto" w:fill="auto"/>
          </w:tcPr>
          <w:p w:rsidR="00C37EAC" w:rsidRPr="00AA6B0F" w:rsidRDefault="001D529A">
            <w:pPr>
              <w:spacing w:after="0" w:line="240" w:lineRule="auto"/>
              <w:rPr>
                <w:rFonts w:ascii="Calibri" w:eastAsia="Calibri" w:hAnsi="Calibri" w:cs="Calibri"/>
                <w:color w:val="244061" w:themeColor="accent1" w:themeShade="80"/>
                <w:sz w:val="18"/>
                <w:szCs w:val="20"/>
              </w:rPr>
            </w:pPr>
            <w:r w:rsidRPr="00AA6B0F">
              <w:rPr>
                <w:rFonts w:ascii="Calibri" w:eastAsia="Calibri" w:hAnsi="Calibri" w:cs="Calibri"/>
                <w:color w:val="244061" w:themeColor="accent1" w:themeShade="80"/>
                <w:sz w:val="18"/>
                <w:szCs w:val="20"/>
              </w:rPr>
              <w:t>Revision and input on revisions will be completed by November 2019</w:t>
            </w:r>
          </w:p>
          <w:p w:rsidR="0005553D" w:rsidRPr="00AA6B0F" w:rsidRDefault="0005553D">
            <w:pPr>
              <w:spacing w:after="0" w:line="240" w:lineRule="auto"/>
              <w:rPr>
                <w:rFonts w:ascii="Calibri" w:eastAsia="Calibri" w:hAnsi="Calibri" w:cs="Calibri"/>
                <w:color w:val="244061" w:themeColor="accent1" w:themeShade="80"/>
                <w:sz w:val="18"/>
                <w:szCs w:val="20"/>
              </w:rPr>
            </w:pPr>
          </w:p>
          <w:p w:rsidR="00A95EB1" w:rsidRPr="00AA6B0F" w:rsidRDefault="00A95EB1" w:rsidP="0005553D">
            <w:pPr>
              <w:spacing w:after="0" w:line="240" w:lineRule="auto"/>
              <w:rPr>
                <w:rFonts w:ascii="Calibri" w:eastAsia="Calibri" w:hAnsi="Calibri" w:cs="Calibri"/>
                <w:color w:val="244061" w:themeColor="accent1" w:themeShade="80"/>
                <w:sz w:val="18"/>
                <w:szCs w:val="20"/>
              </w:rPr>
            </w:pPr>
          </w:p>
          <w:p w:rsidR="0005553D" w:rsidRPr="00AA6B0F" w:rsidRDefault="0005553D">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Revision of program roadmap by May 2020</w:t>
            </w: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Draft of Articulation agreement shared to SOCRC by December 2020</w:t>
            </w: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Develop a survey to give to students by May 2020</w:t>
            </w:r>
          </w:p>
        </w:tc>
        <w:tc>
          <w:tcPr>
            <w:tcW w:w="842" w:type="pct"/>
            <w:shd w:val="clear" w:color="auto" w:fill="auto"/>
          </w:tcPr>
          <w:p w:rsidR="00C37EAC" w:rsidRPr="00AA6B0F" w:rsidRDefault="001D529A">
            <w:pPr>
              <w:spacing w:after="0" w:line="240" w:lineRule="auto"/>
              <w:rPr>
                <w:rFonts w:ascii="Calibri" w:eastAsia="Calibri" w:hAnsi="Calibri" w:cs="Calibri"/>
                <w:color w:val="244061" w:themeColor="accent1" w:themeShade="80"/>
                <w:sz w:val="18"/>
                <w:szCs w:val="20"/>
              </w:rPr>
            </w:pPr>
            <w:r w:rsidRPr="00AA6B0F">
              <w:rPr>
                <w:rFonts w:ascii="Calibri" w:eastAsia="Calibri" w:hAnsi="Calibri" w:cs="Calibri"/>
                <w:color w:val="244061" w:themeColor="accent1" w:themeShade="80"/>
                <w:sz w:val="18"/>
                <w:szCs w:val="20"/>
              </w:rPr>
              <w:t>Final draft of bylaws and voting on new bylaws by December 2019</w:t>
            </w:r>
          </w:p>
          <w:p w:rsidR="0005553D" w:rsidRPr="00AA6B0F" w:rsidRDefault="0005553D">
            <w:pPr>
              <w:spacing w:after="0" w:line="240" w:lineRule="auto"/>
              <w:rPr>
                <w:rFonts w:ascii="Calibri" w:eastAsia="Calibri" w:hAnsi="Calibri" w:cs="Calibri"/>
                <w:color w:val="244061" w:themeColor="accent1" w:themeShade="80"/>
                <w:sz w:val="18"/>
                <w:szCs w:val="20"/>
              </w:rPr>
            </w:pPr>
          </w:p>
          <w:p w:rsidR="00A95EB1" w:rsidRPr="00AA6B0F" w:rsidRDefault="00A95EB1">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Arial" w:eastAsia="Arial" w:hAnsi="Arial" w:cs="Arial"/>
                <w:i/>
                <w:color w:val="244061" w:themeColor="accent1" w:themeShade="80"/>
                <w:sz w:val="18"/>
                <w:szCs w:val="12"/>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Completed roadmap by June 2020</w:t>
            </w: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p>
          <w:p w:rsidR="00AB32DC" w:rsidRPr="00AA6B0F" w:rsidRDefault="00AB32DC">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Final Draft of articulation agreement by June 2022</w:t>
            </w: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p>
          <w:p w:rsidR="00CF4815" w:rsidRPr="00AA6B0F" w:rsidRDefault="00CF4815">
            <w:pPr>
              <w:spacing w:after="0" w:line="240" w:lineRule="auto"/>
              <w:rPr>
                <w:rFonts w:asciiTheme="majorHAnsi" w:eastAsia="Arial" w:hAnsiTheme="majorHAnsi" w:cstheme="majorHAnsi"/>
                <w:color w:val="244061" w:themeColor="accent1" w:themeShade="80"/>
                <w:sz w:val="18"/>
                <w:szCs w:val="20"/>
              </w:rPr>
            </w:pPr>
            <w:r w:rsidRPr="00AA6B0F">
              <w:rPr>
                <w:rFonts w:asciiTheme="majorHAnsi" w:eastAsia="Arial" w:hAnsiTheme="majorHAnsi" w:cstheme="majorHAnsi"/>
                <w:color w:val="244061" w:themeColor="accent1" w:themeShade="80"/>
                <w:sz w:val="18"/>
                <w:szCs w:val="20"/>
              </w:rPr>
              <w:t>Analyze data collected from survey by August 2020 and continue to use survey and analyze data moving forward</w:t>
            </w:r>
          </w:p>
        </w:tc>
      </w:tr>
    </w:tbl>
    <w:p w:rsidR="00C37EAC" w:rsidRDefault="00C37EAC">
      <w:pPr>
        <w:spacing w:after="0" w:line="240" w:lineRule="auto"/>
        <w:rPr>
          <w:sz w:val="4"/>
          <w:szCs w:val="4"/>
        </w:rPr>
      </w:pPr>
    </w:p>
    <w:tbl>
      <w:tblPr>
        <w:tblStyle w:val="a2"/>
        <w:tblW w:w="5000" w:type="pct"/>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00" w:firstRow="0" w:lastRow="0" w:firstColumn="0" w:lastColumn="0" w:noHBand="0" w:noVBand="1"/>
      </w:tblPr>
      <w:tblGrid>
        <w:gridCol w:w="6321"/>
        <w:gridCol w:w="6321"/>
      </w:tblGrid>
      <w:tr w:rsidR="00C37EAC" w:rsidTr="001F2409">
        <w:tc>
          <w:tcPr>
            <w:tcW w:w="2500" w:type="pct"/>
            <w:shd w:val="clear" w:color="auto" w:fill="808080"/>
            <w:vAlign w:val="center"/>
          </w:tcPr>
          <w:p w:rsidR="00C37EAC" w:rsidRDefault="00C85CD3">
            <w:pPr>
              <w:spacing w:after="0" w:line="240" w:lineRule="auto"/>
              <w:jc w:val="center"/>
              <w:rPr>
                <w:b/>
                <w:color w:val="FFFFFF"/>
                <w:sz w:val="18"/>
                <w:szCs w:val="18"/>
              </w:rPr>
            </w:pPr>
            <w:r>
              <w:rPr>
                <w:b/>
                <w:color w:val="FFFFFF"/>
                <w:sz w:val="18"/>
                <w:szCs w:val="18"/>
              </w:rPr>
              <w:lastRenderedPageBreak/>
              <w:t>Assumptions</w:t>
            </w:r>
          </w:p>
        </w:tc>
        <w:tc>
          <w:tcPr>
            <w:tcW w:w="2500" w:type="pct"/>
            <w:shd w:val="clear" w:color="auto" w:fill="808080"/>
            <w:vAlign w:val="center"/>
          </w:tcPr>
          <w:p w:rsidR="00C37EAC" w:rsidRDefault="00C85CD3">
            <w:pPr>
              <w:spacing w:after="0" w:line="240" w:lineRule="auto"/>
              <w:jc w:val="center"/>
              <w:rPr>
                <w:b/>
                <w:color w:val="FFFFFF"/>
                <w:sz w:val="18"/>
                <w:szCs w:val="18"/>
              </w:rPr>
            </w:pPr>
            <w:r>
              <w:rPr>
                <w:b/>
                <w:color w:val="FFFFFF"/>
                <w:sz w:val="18"/>
                <w:szCs w:val="18"/>
              </w:rPr>
              <w:t>External Factors</w:t>
            </w:r>
          </w:p>
        </w:tc>
      </w:tr>
      <w:tr w:rsidR="00C37EAC" w:rsidTr="001F2409">
        <w:trPr>
          <w:trHeight w:val="1880"/>
        </w:trPr>
        <w:tc>
          <w:tcPr>
            <w:tcW w:w="2500" w:type="pct"/>
            <w:shd w:val="clear" w:color="auto" w:fill="auto"/>
          </w:tcPr>
          <w:p w:rsidR="000404CA" w:rsidRPr="000404CA" w:rsidRDefault="000404CA" w:rsidP="000404CA">
            <w:pPr>
              <w:pStyle w:val="ListParagraph"/>
              <w:numPr>
                <w:ilvl w:val="0"/>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Consortium representation consists of five K-12 districts, two community colleges, one county office of education, and two JPA’s</w:t>
            </w:r>
          </w:p>
          <w:p w:rsidR="000404CA" w:rsidRPr="000404CA" w:rsidRDefault="000404CA" w:rsidP="000404CA">
            <w:pPr>
              <w:pStyle w:val="ListParagraph"/>
              <w:numPr>
                <w:ilvl w:val="0"/>
                <w:numId w:val="22"/>
              </w:numPr>
              <w:rPr>
                <w:rFonts w:asciiTheme="majorHAnsi" w:eastAsia="Arial" w:hAnsiTheme="majorHAnsi" w:cstheme="majorHAnsi"/>
                <w:color w:val="000000"/>
                <w:sz w:val="20"/>
                <w:szCs w:val="20"/>
              </w:rPr>
            </w:pPr>
            <w:proofErr w:type="gramStart"/>
            <w:r w:rsidRPr="000404CA">
              <w:rPr>
                <w:rFonts w:asciiTheme="majorHAnsi" w:eastAsia="Arial" w:hAnsiTheme="majorHAnsi" w:cstheme="majorHAnsi"/>
                <w:color w:val="000000"/>
                <w:sz w:val="20"/>
                <w:szCs w:val="20"/>
              </w:rPr>
              <w:t>CAEP programs</w:t>
            </w:r>
            <w:r w:rsidR="00AA6B0F">
              <w:rPr>
                <w:rFonts w:asciiTheme="majorHAnsi" w:eastAsia="Arial" w:hAnsiTheme="majorHAnsi" w:cstheme="majorHAnsi"/>
                <w:color w:val="000000"/>
                <w:sz w:val="20"/>
                <w:szCs w:val="20"/>
              </w:rPr>
              <w:t xml:space="preserve"> &amp; services</w:t>
            </w:r>
            <w:r w:rsidRPr="000404CA">
              <w:rPr>
                <w:rFonts w:asciiTheme="majorHAnsi" w:eastAsia="Arial" w:hAnsiTheme="majorHAnsi" w:cstheme="majorHAnsi"/>
                <w:color w:val="000000"/>
                <w:sz w:val="20"/>
                <w:szCs w:val="20"/>
              </w:rPr>
              <w:t xml:space="preserve"> are provided by the following members</w:t>
            </w:r>
            <w:proofErr w:type="gramEnd"/>
            <w:r w:rsidRPr="000404CA">
              <w:rPr>
                <w:rFonts w:asciiTheme="majorHAnsi" w:eastAsia="Arial" w:hAnsiTheme="majorHAnsi" w:cstheme="majorHAnsi"/>
                <w:color w:val="000000"/>
                <w:sz w:val="20"/>
                <w:szCs w:val="20"/>
              </w:rPr>
              <w:t>: Irvine Valley College, Saddleback College, Irvine Unified School District, Tustin Unified School District, Laguna Beach Unified School District, and College and Career Advantage.</w:t>
            </w:r>
          </w:p>
          <w:p w:rsidR="007B2A39" w:rsidRPr="000404CA" w:rsidRDefault="0070548A" w:rsidP="000404CA">
            <w:pPr>
              <w:pStyle w:val="ListParagraph"/>
              <w:numPr>
                <w:ilvl w:val="0"/>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That our consortium currently serves a wide variety of Adult L</w:t>
            </w:r>
            <w:r w:rsidR="000404CA" w:rsidRPr="000404CA">
              <w:rPr>
                <w:rFonts w:asciiTheme="majorHAnsi" w:eastAsia="Arial" w:hAnsiTheme="majorHAnsi" w:cstheme="majorHAnsi"/>
                <w:color w:val="000000"/>
                <w:sz w:val="20"/>
                <w:szCs w:val="20"/>
              </w:rPr>
              <w:t>earners, 6306 students in total.</w:t>
            </w:r>
          </w:p>
          <w:p w:rsidR="007B2A39" w:rsidRPr="000404CA" w:rsidRDefault="0070548A" w:rsidP="000404CA">
            <w:pPr>
              <w:pStyle w:val="ListParagraph"/>
              <w:numPr>
                <w:ilvl w:val="0"/>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That the student breakdown by consortium member is as follows:</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1227 students from Irvine Valley College</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2576 students from Saddleback College</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917 students from Irvine Unified School District</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1467 students from Tustin Unified School District</w:t>
            </w:r>
          </w:p>
          <w:p w:rsidR="007B2A39" w:rsidRPr="000404CA" w:rsidRDefault="0070548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 xml:space="preserve">10 students from Laguna Beach Unified School District </w:t>
            </w:r>
          </w:p>
          <w:p w:rsidR="000404CA" w:rsidRPr="000404CA" w:rsidRDefault="000404CA" w:rsidP="000404CA">
            <w:pPr>
              <w:pStyle w:val="ListParagraph"/>
              <w:numPr>
                <w:ilvl w:val="1"/>
                <w:numId w:val="22"/>
              </w:numPr>
              <w:rPr>
                <w:rFonts w:asciiTheme="majorHAnsi" w:eastAsia="Arial" w:hAnsiTheme="majorHAnsi" w:cstheme="majorHAnsi"/>
                <w:color w:val="000000"/>
                <w:sz w:val="20"/>
                <w:szCs w:val="20"/>
              </w:rPr>
            </w:pPr>
            <w:r w:rsidRPr="000404CA">
              <w:rPr>
                <w:rFonts w:asciiTheme="majorHAnsi" w:eastAsia="Arial" w:hAnsiTheme="majorHAnsi" w:cstheme="majorHAnsi"/>
                <w:color w:val="000000"/>
                <w:sz w:val="20"/>
                <w:szCs w:val="20"/>
              </w:rPr>
              <w:t>109 students from College and Career Advantage</w:t>
            </w:r>
          </w:p>
          <w:p w:rsidR="000404CA" w:rsidRPr="000404CA" w:rsidRDefault="000404CA" w:rsidP="000404CA">
            <w:pPr>
              <w:pStyle w:val="ListParagraph"/>
              <w:numPr>
                <w:ilvl w:val="0"/>
                <w:numId w:val="22"/>
              </w:numPr>
              <w:rPr>
                <w:rFonts w:asciiTheme="majorHAnsi" w:eastAsia="Arial" w:hAnsiTheme="majorHAnsi" w:cstheme="majorHAnsi"/>
                <w:color w:val="000000"/>
                <w:sz w:val="18"/>
                <w:szCs w:val="20"/>
              </w:rPr>
            </w:pPr>
            <w:r w:rsidRPr="000404CA">
              <w:rPr>
                <w:rFonts w:asciiTheme="majorHAnsi" w:eastAsia="Arial" w:hAnsiTheme="majorHAnsi" w:cstheme="majorHAnsi"/>
                <w:color w:val="000000"/>
                <w:sz w:val="20"/>
                <w:szCs w:val="20"/>
              </w:rPr>
              <w:t xml:space="preserve">Our consortium demographics reflect the following: </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 xml:space="preserve">The vast majority of adult learners are females (68%, 4303 students).  </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The majority of students are between 30-54 years of age with the largest percentage between 40-50 years of age.</w:t>
            </w:r>
          </w:p>
          <w:p w:rsidR="000404CA" w:rsidRPr="000404CA" w:rsidRDefault="005E0B68" w:rsidP="000404CA">
            <w:pPr>
              <w:pStyle w:val="ListParagraph"/>
              <w:numPr>
                <w:ilvl w:val="1"/>
                <w:numId w:val="22"/>
              </w:numPr>
              <w:rPr>
                <w:rFonts w:asciiTheme="majorHAnsi" w:eastAsia="Arial" w:hAnsiTheme="majorHAnsi" w:cstheme="majorHAnsi"/>
                <w:color w:val="000000"/>
                <w:sz w:val="18"/>
                <w:szCs w:val="20"/>
              </w:rPr>
            </w:pPr>
            <w:r>
              <w:rPr>
                <w:rFonts w:asciiTheme="majorHAnsi" w:eastAsia="Calibri" w:hAnsiTheme="majorHAnsi" w:cstheme="majorHAnsi"/>
                <w:color w:val="000000"/>
                <w:sz w:val="20"/>
              </w:rPr>
              <w:t>T</w:t>
            </w:r>
            <w:r w:rsidR="000404CA" w:rsidRPr="000404CA">
              <w:rPr>
                <w:rFonts w:asciiTheme="majorHAnsi" w:eastAsia="Calibri" w:hAnsiTheme="majorHAnsi" w:cstheme="majorHAnsi"/>
                <w:color w:val="000000"/>
                <w:sz w:val="20"/>
              </w:rPr>
              <w:t xml:space="preserve">he majority of adult learners have either a high school diploma or BA </w:t>
            </w:r>
            <w:r>
              <w:rPr>
                <w:rFonts w:asciiTheme="majorHAnsi" w:eastAsia="Calibri" w:hAnsiTheme="majorHAnsi" w:cstheme="majorHAnsi"/>
                <w:color w:val="000000"/>
                <w:sz w:val="20"/>
              </w:rPr>
              <w:t>as the highest diploma earned, outside the United States.</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 xml:space="preserve">In terms of ethnicity, 37% of our students are Hispanic.  </w:t>
            </w:r>
          </w:p>
          <w:p w:rsidR="000404CA" w:rsidRPr="005E0B68"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In terms of race, the majority of students fall in two groups (59%</w:t>
            </w:r>
            <w:r w:rsidR="005E0B68">
              <w:rPr>
                <w:rFonts w:asciiTheme="majorHAnsi" w:eastAsia="Calibri" w:hAnsiTheme="majorHAnsi" w:cstheme="majorHAnsi"/>
                <w:color w:val="000000"/>
                <w:sz w:val="20"/>
              </w:rPr>
              <w:t xml:space="preserve"> are white and 36% are Asian) which includes a wide variety of ethnic subgroups.</w:t>
            </w:r>
          </w:p>
          <w:p w:rsidR="000404CA" w:rsidRPr="000404CA" w:rsidRDefault="000404CA" w:rsidP="000404CA">
            <w:pPr>
              <w:pStyle w:val="ListParagraph"/>
              <w:numPr>
                <w:ilvl w:val="1"/>
                <w:numId w:val="22"/>
              </w:numPr>
              <w:rPr>
                <w:rFonts w:asciiTheme="majorHAnsi" w:eastAsia="Arial" w:hAnsiTheme="majorHAnsi" w:cstheme="majorHAnsi"/>
                <w:color w:val="000000"/>
                <w:sz w:val="18"/>
                <w:szCs w:val="20"/>
              </w:rPr>
            </w:pPr>
            <w:r w:rsidRPr="000404CA">
              <w:rPr>
                <w:rFonts w:asciiTheme="majorHAnsi" w:eastAsia="Calibri" w:hAnsiTheme="majorHAnsi" w:cstheme="majorHAnsi"/>
                <w:color w:val="000000"/>
                <w:sz w:val="20"/>
              </w:rPr>
              <w:t xml:space="preserve">There are over 25 languages spoken by our adult learners with the majority speaking Spanish (32%), in the southern portion of our consortium, and Chinese (20%), in the northern portion of our consortium.  </w:t>
            </w:r>
          </w:p>
          <w:p w:rsidR="000404CA" w:rsidRPr="00A95EB1" w:rsidRDefault="000404CA" w:rsidP="000404CA">
            <w:pPr>
              <w:spacing w:after="0" w:line="240" w:lineRule="auto"/>
              <w:rPr>
                <w:rFonts w:asciiTheme="majorHAnsi" w:eastAsia="Arial" w:hAnsiTheme="majorHAnsi" w:cstheme="majorHAnsi"/>
                <w:color w:val="000000"/>
                <w:sz w:val="20"/>
                <w:szCs w:val="20"/>
              </w:rPr>
            </w:pPr>
          </w:p>
          <w:p w:rsidR="00C37EAC" w:rsidRDefault="00C37EAC">
            <w:pPr>
              <w:spacing w:after="0" w:line="240" w:lineRule="auto"/>
              <w:rPr>
                <w:rFonts w:ascii="Arial" w:eastAsia="Arial" w:hAnsi="Arial" w:cs="Arial"/>
                <w:color w:val="000000"/>
                <w:sz w:val="20"/>
                <w:szCs w:val="20"/>
              </w:rPr>
            </w:pPr>
          </w:p>
        </w:tc>
        <w:tc>
          <w:tcPr>
            <w:tcW w:w="2500" w:type="pct"/>
            <w:shd w:val="clear" w:color="auto" w:fill="auto"/>
          </w:tcPr>
          <w:p w:rsidR="000404CA" w:rsidRDefault="000404CA" w:rsidP="000404CA">
            <w:pPr>
              <w:numPr>
                <w:ilvl w:val="0"/>
                <w:numId w:val="10"/>
              </w:numPr>
              <w:spacing w:after="0" w:line="240" w:lineRule="auto"/>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The demographics in Orange County reflect the following:</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Median Age  is 37.9</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Irvine is the 3</w:t>
            </w:r>
            <w:r w:rsidRPr="000404CA">
              <w:rPr>
                <w:rFonts w:asciiTheme="majorHAnsi" w:eastAsia="Calibri" w:hAnsiTheme="majorHAnsi" w:cstheme="majorHAnsi"/>
                <w:color w:val="000000"/>
                <w:sz w:val="20"/>
                <w:vertAlign w:val="superscript"/>
              </w:rPr>
              <w:t>rd</w:t>
            </w:r>
            <w:r w:rsidRPr="000404CA">
              <w:rPr>
                <w:rFonts w:asciiTheme="majorHAnsi" w:eastAsia="Calibri" w:hAnsiTheme="majorHAnsi" w:cstheme="majorHAnsi"/>
                <w:color w:val="000000"/>
                <w:sz w:val="20"/>
              </w:rPr>
              <w:t xml:space="preserve"> largest population in OC with the most rapid population growth since 2010 at 3.4%</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Hispanic population is increasing, white population is decreasing</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Ethnicity = 40% White, 34% Hispanic, 20% Asian; minority majority</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15% do not have a high school diploma</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1.5% student dropout rate (vs LA @3.2% and State @2.4%) District rates: Tustin .2%, Laguna Beach .4%, Irvine .5%, Saddleback .6%, CUSD .8%, Newport Mesa 1.0%</w:t>
            </w:r>
          </w:p>
          <w:p w:rsidR="000404CA" w:rsidRPr="000404CA" w:rsidRDefault="000404CA" w:rsidP="000404CA">
            <w:pPr>
              <w:numPr>
                <w:ilvl w:val="1"/>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OC has the highest K-12 English Language Learner students at 23.5% vs 20.4% for State. District rates: Irvine 19.9%, Saddleback 17.4%, Tustin 17.1%, CUSD 9.4%, Laguna Beach 3.6%</w:t>
            </w:r>
          </w:p>
          <w:p w:rsidR="000404CA" w:rsidRPr="000404CA" w:rsidRDefault="000404CA" w:rsidP="000404CA">
            <w:pPr>
              <w:numPr>
                <w:ilvl w:val="0"/>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Key Industry Sectors: Healthcare (highest salary increase after completing a community college certificate program), Hospitality and Tourism, Information and Communication Technology, Energy-Construction-Utilities, Transportation and Logistics, Business and Entrepreneurship</w:t>
            </w:r>
          </w:p>
          <w:p w:rsidR="000404CA" w:rsidRPr="000404CA" w:rsidRDefault="000404CA" w:rsidP="000404CA">
            <w:pPr>
              <w:numPr>
                <w:ilvl w:val="0"/>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OC unemployment rate is 3.1% (vs LA 5.1%, State 4.3%, US 3.9%)</w:t>
            </w:r>
          </w:p>
          <w:p w:rsidR="000404CA" w:rsidRPr="000404CA" w:rsidRDefault="000404CA" w:rsidP="000404CA">
            <w:pPr>
              <w:numPr>
                <w:ilvl w:val="0"/>
                <w:numId w:val="10"/>
              </w:numPr>
              <w:spacing w:after="0" w:line="240" w:lineRule="auto"/>
              <w:rPr>
                <w:rFonts w:asciiTheme="majorHAnsi" w:hAnsiTheme="majorHAnsi" w:cstheme="majorHAnsi"/>
                <w:color w:val="000000"/>
                <w:sz w:val="20"/>
              </w:rPr>
            </w:pPr>
            <w:r w:rsidRPr="000404CA">
              <w:rPr>
                <w:rFonts w:asciiTheme="majorHAnsi" w:eastAsia="Calibri" w:hAnsiTheme="majorHAnsi" w:cstheme="majorHAnsi"/>
                <w:color w:val="000000"/>
                <w:sz w:val="20"/>
              </w:rPr>
              <w:t>Fastest growing occupations in OC (2014-2024)= Web Developers, Floor Layers, Operations Research Analysts, Tapers, Electrician Helpers, Home Health Aides (@ 40% growth – but low salaries), Painters-Construction-Maintenance, Drywall and Ceiling Tile Installers, Tile and Marble Setters, Interpreters and Translators</w:t>
            </w:r>
          </w:p>
          <w:p w:rsidR="000404CA" w:rsidRPr="000404CA" w:rsidRDefault="000404CA" w:rsidP="000404CA">
            <w:pPr>
              <w:numPr>
                <w:ilvl w:val="0"/>
                <w:numId w:val="10"/>
              </w:numPr>
              <w:spacing w:after="0" w:line="240" w:lineRule="auto"/>
              <w:rPr>
                <w:rFonts w:asciiTheme="majorHAnsi" w:hAnsiTheme="majorHAnsi" w:cstheme="majorHAnsi"/>
                <w:color w:val="000000"/>
                <w:sz w:val="20"/>
                <w:szCs w:val="20"/>
              </w:rPr>
            </w:pPr>
            <w:r w:rsidRPr="000404CA">
              <w:rPr>
                <w:rFonts w:asciiTheme="majorHAnsi" w:eastAsia="Calibri" w:hAnsiTheme="majorHAnsi" w:cstheme="majorHAnsi"/>
                <w:color w:val="000000"/>
                <w:sz w:val="20"/>
              </w:rPr>
              <w:t>Baseline skills (the in-demand basic skills an individual should have): Communication and Teamwork/Collaboration (soft skills) most in-demand, however Microsoft Excel was the most in-</w:t>
            </w:r>
            <w:r w:rsidRPr="000404CA">
              <w:rPr>
                <w:rFonts w:asciiTheme="majorHAnsi" w:eastAsia="Calibri" w:hAnsiTheme="majorHAnsi" w:cstheme="majorHAnsi"/>
                <w:color w:val="000000"/>
                <w:sz w:val="20"/>
                <w:szCs w:val="20"/>
              </w:rPr>
              <w:t>demand hard skill</w:t>
            </w:r>
          </w:p>
          <w:p w:rsidR="00C37EAC" w:rsidRPr="000404CA" w:rsidRDefault="000404CA" w:rsidP="000404CA">
            <w:pPr>
              <w:numPr>
                <w:ilvl w:val="0"/>
                <w:numId w:val="10"/>
              </w:numPr>
              <w:spacing w:after="0" w:line="240" w:lineRule="auto"/>
              <w:rPr>
                <w:rFonts w:asciiTheme="majorHAnsi" w:hAnsiTheme="majorHAnsi" w:cstheme="majorHAnsi"/>
                <w:color w:val="000000"/>
                <w:sz w:val="20"/>
                <w:szCs w:val="20"/>
              </w:rPr>
            </w:pPr>
            <w:r w:rsidRPr="000404CA">
              <w:rPr>
                <w:rFonts w:asciiTheme="majorHAnsi" w:eastAsia="Calibri" w:hAnsiTheme="majorHAnsi" w:cstheme="majorHAnsi"/>
                <w:color w:val="000000"/>
                <w:sz w:val="20"/>
                <w:szCs w:val="20"/>
              </w:rPr>
              <w:t>Healthcare has become OC’s most important middle-skills employing industry, with almost 20,000 job postings in the past year</w:t>
            </w:r>
          </w:p>
        </w:tc>
      </w:tr>
    </w:tbl>
    <w:p w:rsidR="00C37EAC" w:rsidRDefault="00C37EAC">
      <w:pPr>
        <w:widowControl w:val="0"/>
        <w:pBdr>
          <w:top w:val="nil"/>
          <w:left w:val="nil"/>
          <w:bottom w:val="nil"/>
          <w:right w:val="nil"/>
          <w:between w:val="nil"/>
        </w:pBdr>
        <w:spacing w:after="0"/>
        <w:sectPr w:rsidR="00C37EAC" w:rsidSect="001F2409">
          <w:pgSz w:w="15840" w:h="12240" w:orient="landscape"/>
          <w:pgMar w:top="1440" w:right="1742" w:bottom="1440" w:left="1440" w:header="720" w:footer="720" w:gutter="0"/>
          <w:cols w:space="720"/>
        </w:sectPr>
      </w:pPr>
      <w:bookmarkStart w:id="21" w:name="_1y810tw" w:colFirst="0" w:colLast="0"/>
      <w:bookmarkEnd w:id="21"/>
    </w:p>
    <w:p w:rsidR="00C37EAC" w:rsidRDefault="00C85CD3">
      <w:pPr>
        <w:pStyle w:val="Heading3"/>
      </w:pPr>
      <w:bookmarkStart w:id="22" w:name="_4i7ojhp" w:colFirst="0" w:colLast="0"/>
      <w:bookmarkEnd w:id="22"/>
      <w:r>
        <w:lastRenderedPageBreak/>
        <w:t>Table 3. Progress Indicators</w:t>
      </w:r>
    </w:p>
    <w:p w:rsidR="00C37EAC" w:rsidRDefault="00C85CD3">
      <w:pPr>
        <w:spacing w:after="0" w:line="240" w:lineRule="auto"/>
        <w:rPr>
          <w:rFonts w:ascii="Times New Roman" w:eastAsia="Times New Roman" w:hAnsi="Times New Roman" w:cs="Times New Roman"/>
          <w:color w:val="000000"/>
          <w:sz w:val="24"/>
          <w:szCs w:val="24"/>
        </w:rPr>
      </w:pPr>
      <w:r>
        <w:rPr>
          <w:i/>
          <w:color w:val="757171"/>
          <w:sz w:val="20"/>
          <w:szCs w:val="20"/>
        </w:rPr>
        <w:t xml:space="preserve">Provide three to five SMART (Specific, Measurable, Attainable, Realistic, and Time-bound) objectives by which your consortium will assess progress and impact during the next three-year cycle. These objectives should map directly to your Logic Model activities, outputs, and / or outcomes, as these will be a driving factor for annual plans throughout the funding period. </w:t>
      </w:r>
      <w:r>
        <w:rPr>
          <w:rFonts w:ascii="Times New Roman" w:eastAsia="Times New Roman" w:hAnsi="Times New Roman" w:cs="Times New Roman"/>
          <w:color w:val="000000"/>
          <w:sz w:val="24"/>
          <w:szCs w:val="24"/>
        </w:rPr>
        <w:br/>
      </w:r>
    </w:p>
    <w:p w:rsidR="00C37EAC" w:rsidRDefault="00C85CD3">
      <w:pPr>
        <w:rPr>
          <w:i/>
          <w:color w:val="757171"/>
          <w:sz w:val="20"/>
          <w:szCs w:val="20"/>
        </w:rPr>
      </w:pPr>
      <w:r>
        <w:rPr>
          <w:i/>
          <w:color w:val="757171"/>
          <w:sz w:val="20"/>
          <w:szCs w:val="20"/>
          <w:u w:val="single"/>
        </w:rPr>
        <w:t>Example:</w:t>
      </w:r>
      <w:r>
        <w:rPr>
          <w:i/>
          <w:color w:val="757171"/>
          <w:sz w:val="20"/>
          <w:szCs w:val="20"/>
        </w:rPr>
        <w:t xml:space="preserve"> By May 2019, increase the number of agencies that have aligned CTE pathways and developed comprehensive program maps from </w:t>
      </w:r>
      <w:proofErr w:type="gramStart"/>
      <w:r>
        <w:rPr>
          <w:i/>
          <w:color w:val="757171"/>
          <w:sz w:val="20"/>
          <w:szCs w:val="20"/>
        </w:rPr>
        <w:t>2</w:t>
      </w:r>
      <w:proofErr w:type="gramEnd"/>
      <w:r>
        <w:rPr>
          <w:i/>
          <w:color w:val="757171"/>
          <w:sz w:val="20"/>
          <w:szCs w:val="20"/>
        </w:rPr>
        <w:t xml:space="preserve"> to 10.</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4C1DBF" w:rsidP="008E764B">
            <w:pPr>
              <w:spacing w:after="0" w:line="240" w:lineRule="auto"/>
              <w:rPr>
                <w:rFonts w:asciiTheme="majorHAnsi" w:eastAsia="Arial" w:hAnsiTheme="majorHAnsi" w:cstheme="majorHAnsi"/>
                <w:color w:val="04326C"/>
                <w:sz w:val="20"/>
                <w:szCs w:val="20"/>
              </w:rPr>
            </w:pPr>
            <w:r>
              <w:rPr>
                <w:rFonts w:asciiTheme="majorHAnsi" w:hAnsiTheme="majorHAnsi" w:cstheme="majorHAnsi"/>
                <w:color w:val="000000"/>
                <w:sz w:val="20"/>
                <w:szCs w:val="20"/>
              </w:rPr>
              <w:t xml:space="preserve">By December </w:t>
            </w:r>
            <w:r w:rsidR="008E764B" w:rsidRPr="004C1DBF">
              <w:rPr>
                <w:rFonts w:asciiTheme="majorHAnsi" w:hAnsiTheme="majorHAnsi" w:cstheme="majorHAnsi"/>
                <w:color w:val="000000"/>
                <w:sz w:val="20"/>
                <w:szCs w:val="20"/>
              </w:rPr>
              <w:t xml:space="preserve">2019, SOCRC </w:t>
            </w:r>
            <w:r>
              <w:rPr>
                <w:rFonts w:asciiTheme="majorHAnsi" w:hAnsiTheme="majorHAnsi" w:cstheme="majorHAnsi"/>
                <w:color w:val="000000"/>
                <w:sz w:val="20"/>
                <w:szCs w:val="20"/>
              </w:rPr>
              <w:t xml:space="preserve">governance plan will be revised and </w:t>
            </w:r>
            <w:r w:rsidR="008E764B" w:rsidRPr="004C1DBF">
              <w:rPr>
                <w:rFonts w:asciiTheme="majorHAnsi" w:hAnsiTheme="majorHAnsi" w:cstheme="majorHAnsi"/>
                <w:color w:val="000000"/>
                <w:sz w:val="20"/>
                <w:szCs w:val="20"/>
              </w:rPr>
              <w:t>byl</w:t>
            </w:r>
            <w:r>
              <w:rPr>
                <w:rFonts w:asciiTheme="majorHAnsi" w:hAnsiTheme="majorHAnsi" w:cstheme="majorHAnsi"/>
                <w:color w:val="000000"/>
                <w:sz w:val="20"/>
                <w:szCs w:val="20"/>
              </w:rPr>
              <w:t xml:space="preserve">aws will be created </w:t>
            </w:r>
            <w:r w:rsidR="008E764B" w:rsidRPr="004C1DBF">
              <w:rPr>
                <w:rFonts w:asciiTheme="majorHAnsi" w:hAnsiTheme="majorHAnsi" w:cstheme="majorHAnsi"/>
                <w:color w:val="000000"/>
                <w:sz w:val="20"/>
                <w:szCs w:val="20"/>
              </w:rPr>
              <w:t xml:space="preserve">to allow </w:t>
            </w:r>
            <w:proofErr w:type="gramStart"/>
            <w:r w:rsidR="008E764B" w:rsidRPr="004C1DBF">
              <w:rPr>
                <w:rFonts w:asciiTheme="majorHAnsi" w:hAnsiTheme="majorHAnsi" w:cstheme="majorHAnsi"/>
                <w:color w:val="000000"/>
                <w:sz w:val="20"/>
                <w:szCs w:val="20"/>
              </w:rPr>
              <w:t>for full</w:t>
            </w:r>
            <w:proofErr w:type="gramEnd"/>
            <w:r w:rsidR="008E764B" w:rsidRPr="004C1DBF">
              <w:rPr>
                <w:rFonts w:asciiTheme="majorHAnsi" w:hAnsiTheme="majorHAnsi" w:cstheme="majorHAnsi"/>
                <w:color w:val="000000"/>
                <w:sz w:val="20"/>
                <w:szCs w:val="20"/>
              </w:rPr>
              <w:t xml:space="preserve"> member participation to support each other and build capacity to deliver high quality adult education to meet community needs.  </w:t>
            </w:r>
            <w:r w:rsidR="008E764B" w:rsidRPr="004C1DBF">
              <w:rPr>
                <w:rFonts w:asciiTheme="majorHAnsi" w:eastAsia="Arial" w:hAnsiTheme="majorHAnsi" w:cstheme="majorHAnsi"/>
                <w:color w:val="04326C"/>
                <w:sz w:val="20"/>
                <w:szCs w:val="20"/>
              </w:rPr>
              <w:t xml:space="preserve"> </w:t>
            </w:r>
            <w:r w:rsidR="00C85CD3" w:rsidRPr="004C1DBF">
              <w:rPr>
                <w:rFonts w:asciiTheme="majorHAnsi" w:eastAsia="Arial" w:hAnsiTheme="majorHAnsi" w:cstheme="majorHAnsi"/>
                <w:color w:val="04326C"/>
                <w:sz w:val="20"/>
                <w:szCs w:val="20"/>
              </w:rPr>
              <w:t>     </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Pr="004C1DBF" w:rsidRDefault="00C37EAC">
            <w:pPr>
              <w:widowControl w:val="0"/>
              <w:spacing w:after="0" w:line="240" w:lineRule="auto"/>
              <w:ind w:left="720" w:hanging="360"/>
              <w:rPr>
                <w:rFonts w:asciiTheme="majorHAnsi" w:hAnsiTheme="majorHAnsi" w:cstheme="majorHAnsi"/>
                <w:i/>
                <w:color w:val="04326C"/>
                <w:sz w:val="20"/>
                <w:szCs w:val="20"/>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8E764B">
            <w:pPr>
              <w:spacing w:after="0" w:line="240" w:lineRule="auto"/>
              <w:rPr>
                <w:rFonts w:asciiTheme="majorHAnsi" w:hAnsiTheme="majorHAnsi" w:cstheme="majorHAnsi"/>
                <w:color w:val="04326C"/>
                <w:sz w:val="20"/>
                <w:szCs w:val="20"/>
              </w:rPr>
            </w:pPr>
            <w:r w:rsidRPr="004C1DBF">
              <w:rPr>
                <w:rFonts w:asciiTheme="majorHAnsi" w:hAnsiTheme="majorHAnsi" w:cstheme="majorHAnsi"/>
                <w:color w:val="000000"/>
                <w:sz w:val="20"/>
                <w:szCs w:val="20"/>
              </w:rPr>
              <w:t>B</w:t>
            </w:r>
            <w:r w:rsidR="00F44640">
              <w:rPr>
                <w:rFonts w:asciiTheme="majorHAnsi" w:hAnsiTheme="majorHAnsi" w:cstheme="majorHAnsi"/>
                <w:color w:val="000000"/>
                <w:sz w:val="20"/>
                <w:szCs w:val="20"/>
              </w:rPr>
              <w:t xml:space="preserve">y June 2020, develop </w:t>
            </w:r>
            <w:r w:rsidRPr="004C1DBF">
              <w:rPr>
                <w:rFonts w:asciiTheme="majorHAnsi" w:hAnsiTheme="majorHAnsi" w:cstheme="majorHAnsi"/>
                <w:color w:val="000000"/>
                <w:sz w:val="20"/>
                <w:szCs w:val="20"/>
              </w:rPr>
              <w:t>an SOCRC pr</w:t>
            </w:r>
            <w:r w:rsidR="004C1DBF" w:rsidRPr="004C1DBF">
              <w:rPr>
                <w:rFonts w:asciiTheme="majorHAnsi" w:hAnsiTheme="majorHAnsi" w:cstheme="majorHAnsi"/>
                <w:color w:val="000000"/>
                <w:sz w:val="20"/>
                <w:szCs w:val="20"/>
              </w:rPr>
              <w:t xml:space="preserve">ogram map that articulates the </w:t>
            </w:r>
            <w:r w:rsidRPr="004C1DBF">
              <w:rPr>
                <w:rFonts w:asciiTheme="majorHAnsi" w:hAnsiTheme="majorHAnsi" w:cstheme="majorHAnsi"/>
                <w:color w:val="000000"/>
                <w:sz w:val="20"/>
                <w:szCs w:val="20"/>
              </w:rPr>
              <w:t>path to success from adult programs to college or workforce readiness.</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Pr="004C1DBF" w:rsidRDefault="00C37EAC">
            <w:pPr>
              <w:widowControl w:val="0"/>
              <w:spacing w:after="0" w:line="240" w:lineRule="auto"/>
              <w:ind w:left="720" w:hanging="360"/>
              <w:rPr>
                <w:rFonts w:asciiTheme="majorHAnsi" w:hAnsiTheme="majorHAnsi" w:cstheme="majorHAnsi"/>
                <w:i/>
                <w:color w:val="04326C"/>
                <w:sz w:val="20"/>
                <w:szCs w:val="20"/>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8E764B">
            <w:pPr>
              <w:spacing w:after="0" w:line="240" w:lineRule="auto"/>
              <w:rPr>
                <w:rFonts w:asciiTheme="majorHAnsi" w:hAnsiTheme="majorHAnsi" w:cstheme="majorHAnsi"/>
                <w:color w:val="04326C"/>
                <w:sz w:val="20"/>
                <w:szCs w:val="20"/>
              </w:rPr>
            </w:pPr>
            <w:r w:rsidRPr="004C1DBF">
              <w:rPr>
                <w:rFonts w:asciiTheme="majorHAnsi" w:hAnsiTheme="majorHAnsi" w:cstheme="majorHAnsi"/>
                <w:color w:val="000000"/>
                <w:sz w:val="20"/>
                <w:szCs w:val="20"/>
              </w:rPr>
              <w:t xml:space="preserve">By June 2022, </w:t>
            </w:r>
            <w:r w:rsidR="00F44640">
              <w:rPr>
                <w:rFonts w:asciiTheme="majorHAnsi" w:hAnsiTheme="majorHAnsi" w:cstheme="majorHAnsi"/>
                <w:color w:val="000000"/>
                <w:sz w:val="20"/>
                <w:szCs w:val="20"/>
              </w:rPr>
              <w:t xml:space="preserve">create </w:t>
            </w:r>
            <w:r w:rsidR="00281FE8">
              <w:rPr>
                <w:rFonts w:asciiTheme="majorHAnsi" w:hAnsiTheme="majorHAnsi" w:cstheme="majorHAnsi"/>
                <w:color w:val="000000"/>
                <w:sz w:val="20"/>
                <w:szCs w:val="20"/>
              </w:rPr>
              <w:t>articulation plan</w:t>
            </w:r>
            <w:r w:rsidRPr="004C1DBF">
              <w:rPr>
                <w:rFonts w:asciiTheme="majorHAnsi" w:hAnsiTheme="majorHAnsi" w:cstheme="majorHAnsi"/>
                <w:color w:val="000000"/>
                <w:sz w:val="20"/>
                <w:szCs w:val="20"/>
              </w:rPr>
              <w:t xml:space="preserve"> among the various programs offere</w:t>
            </w:r>
            <w:r w:rsidR="00F44640">
              <w:rPr>
                <w:rFonts w:asciiTheme="majorHAnsi" w:hAnsiTheme="majorHAnsi" w:cstheme="majorHAnsi"/>
                <w:color w:val="000000"/>
                <w:sz w:val="20"/>
                <w:szCs w:val="20"/>
              </w:rPr>
              <w:t>d within the consortium</w:t>
            </w:r>
            <w:r w:rsidRPr="004C1DBF">
              <w:rPr>
                <w:rFonts w:asciiTheme="majorHAnsi" w:hAnsiTheme="majorHAnsi" w:cstheme="majorHAnsi"/>
                <w:color w:val="000000"/>
                <w:sz w:val="20"/>
                <w:szCs w:val="20"/>
              </w:rPr>
              <w:t>.</w:t>
            </w:r>
            <w:r w:rsidR="00C85CD3" w:rsidRPr="004C1DBF">
              <w:rPr>
                <w:rFonts w:asciiTheme="majorHAnsi" w:eastAsia="Arial" w:hAnsiTheme="majorHAnsi" w:cstheme="majorHAnsi"/>
                <w:color w:val="04326C"/>
                <w:sz w:val="20"/>
                <w:szCs w:val="20"/>
              </w:rPr>
              <w:t>    </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Pr="004C1DBF" w:rsidRDefault="00C37EAC">
            <w:pPr>
              <w:widowControl w:val="0"/>
              <w:spacing w:after="0" w:line="240" w:lineRule="auto"/>
              <w:ind w:left="720" w:hanging="360"/>
              <w:rPr>
                <w:rFonts w:asciiTheme="majorHAnsi" w:hAnsiTheme="majorHAnsi" w:cstheme="majorHAnsi"/>
                <w:i/>
                <w:color w:val="04326C"/>
                <w:sz w:val="20"/>
                <w:szCs w:val="20"/>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pPr>
              <w:widowControl w:val="0"/>
              <w:numPr>
                <w:ilvl w:val="0"/>
                <w:numId w:val="7"/>
              </w:numPr>
              <w:pBdr>
                <w:top w:val="nil"/>
                <w:left w:val="nil"/>
                <w:bottom w:val="nil"/>
                <w:right w:val="nil"/>
                <w:between w:val="nil"/>
              </w:pBdr>
              <w:spacing w:after="0" w:line="240" w:lineRule="auto"/>
              <w:jc w:val="right"/>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Pr="004C1DBF" w:rsidRDefault="008E764B">
            <w:pPr>
              <w:spacing w:after="0" w:line="240" w:lineRule="auto"/>
              <w:rPr>
                <w:rFonts w:asciiTheme="majorHAnsi" w:hAnsiTheme="majorHAnsi" w:cstheme="majorHAnsi"/>
                <w:color w:val="04326C"/>
                <w:sz w:val="20"/>
                <w:szCs w:val="20"/>
              </w:rPr>
            </w:pPr>
            <w:r w:rsidRPr="004C1DBF">
              <w:rPr>
                <w:rFonts w:asciiTheme="majorHAnsi" w:hAnsiTheme="majorHAnsi" w:cstheme="majorHAnsi"/>
                <w:color w:val="000000"/>
                <w:sz w:val="20"/>
                <w:szCs w:val="20"/>
              </w:rPr>
              <w:t>By June 2021, a 3-5% increase in completion/progre</w:t>
            </w:r>
            <w:r w:rsidR="00281FE8">
              <w:rPr>
                <w:rFonts w:asciiTheme="majorHAnsi" w:hAnsiTheme="majorHAnsi" w:cstheme="majorHAnsi"/>
                <w:color w:val="000000"/>
                <w:sz w:val="20"/>
                <w:szCs w:val="20"/>
              </w:rPr>
              <w:t>ssion of students in program learning</w:t>
            </w:r>
            <w:r w:rsidRPr="004C1DBF">
              <w:rPr>
                <w:rFonts w:asciiTheme="majorHAnsi" w:hAnsiTheme="majorHAnsi" w:cstheme="majorHAnsi"/>
                <w:color w:val="000000"/>
                <w:sz w:val="20"/>
                <w:szCs w:val="20"/>
              </w:rPr>
              <w:t xml:space="preserve"> gains, high school diploma/HSE completion, </w:t>
            </w:r>
            <w:r w:rsidR="00281FE8">
              <w:rPr>
                <w:rFonts w:asciiTheme="majorHAnsi" w:hAnsiTheme="majorHAnsi" w:cstheme="majorHAnsi"/>
                <w:color w:val="000000"/>
                <w:sz w:val="20"/>
                <w:szCs w:val="20"/>
              </w:rPr>
              <w:t xml:space="preserve">and/or </w:t>
            </w:r>
            <w:r w:rsidRPr="004C1DBF">
              <w:rPr>
                <w:rFonts w:asciiTheme="majorHAnsi" w:hAnsiTheme="majorHAnsi" w:cstheme="majorHAnsi"/>
                <w:color w:val="000000"/>
                <w:sz w:val="20"/>
                <w:szCs w:val="20"/>
              </w:rPr>
              <w:t>transfer to college or employment.  </w:t>
            </w:r>
          </w:p>
        </w:tc>
      </w:tr>
      <w:tr w:rsidR="00C37EAC">
        <w:tc>
          <w:tcPr>
            <w:tcW w:w="945" w:type="dxa"/>
            <w:tcBorders>
              <w:top w:val="nil"/>
              <w:left w:val="nil"/>
              <w:bottom w:val="nil"/>
              <w:right w:val="nil"/>
            </w:tcBorders>
            <w:shd w:val="clear" w:color="auto" w:fill="auto"/>
            <w:tcMar>
              <w:top w:w="0" w:type="dxa"/>
              <w:left w:w="0" w:type="dxa"/>
              <w:bottom w:w="0" w:type="dxa"/>
              <w:right w:w="0" w:type="dxa"/>
            </w:tcMar>
          </w:tcPr>
          <w:p w:rsidR="00C37EAC" w:rsidRDefault="00C37EAC">
            <w:pPr>
              <w:widowControl w:val="0"/>
              <w:spacing w:after="0" w:line="240" w:lineRule="auto"/>
              <w:ind w:left="720" w:hanging="360"/>
              <w:jc w:val="right"/>
              <w:rPr>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rsidR="00C37EAC" w:rsidRDefault="00C37EAC">
            <w:pPr>
              <w:widowControl w:val="0"/>
              <w:spacing w:after="0" w:line="240" w:lineRule="auto"/>
              <w:ind w:left="720" w:hanging="360"/>
              <w:rPr>
                <w:i/>
                <w:color w:val="04326C"/>
                <w:sz w:val="6"/>
                <w:szCs w:val="6"/>
              </w:rPr>
            </w:pPr>
          </w:p>
        </w:tc>
      </w:tr>
      <w:tr w:rsidR="00C37EAC">
        <w:tc>
          <w:tcPr>
            <w:tcW w:w="945" w:type="dxa"/>
            <w:tcBorders>
              <w:top w:val="nil"/>
              <w:left w:val="nil"/>
              <w:bottom w:val="nil"/>
              <w:right w:val="nil"/>
            </w:tcBorders>
            <w:shd w:val="clear" w:color="auto" w:fill="auto"/>
            <w:tcMar>
              <w:top w:w="100" w:type="dxa"/>
              <w:left w:w="100" w:type="dxa"/>
              <w:bottom w:w="100" w:type="dxa"/>
              <w:right w:w="100" w:type="dxa"/>
            </w:tcMar>
          </w:tcPr>
          <w:p w:rsidR="00C37EAC" w:rsidRDefault="00C37EAC" w:rsidP="00AA6B0F">
            <w:pPr>
              <w:widowControl w:val="0"/>
              <w:pBdr>
                <w:top w:val="nil"/>
                <w:left w:val="nil"/>
                <w:bottom w:val="nil"/>
                <w:right w:val="nil"/>
                <w:between w:val="nil"/>
              </w:pBdr>
              <w:spacing w:after="0" w:line="240" w:lineRule="auto"/>
              <w:ind w:left="720"/>
              <w:rPr>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rsidR="00C37EAC" w:rsidRDefault="00C37EAC">
            <w:pPr>
              <w:spacing w:after="0" w:line="240" w:lineRule="auto"/>
              <w:rPr>
                <w:color w:val="04326C"/>
              </w:rPr>
            </w:pPr>
          </w:p>
        </w:tc>
      </w:tr>
    </w:tbl>
    <w:p w:rsidR="00C37EAC" w:rsidRDefault="00C37EAC">
      <w:pPr>
        <w:pStyle w:val="Heading2"/>
        <w:pBdr>
          <w:bottom w:val="none" w:sz="0" w:space="0" w:color="000000"/>
        </w:pBdr>
      </w:pPr>
      <w:bookmarkStart w:id="23" w:name="_2xcytpi" w:colFirst="0" w:colLast="0"/>
      <w:bookmarkEnd w:id="23"/>
    </w:p>
    <w:p w:rsidR="00C37EAC" w:rsidRDefault="00C85CD3">
      <w:pPr>
        <w:spacing w:after="0" w:line="240" w:lineRule="auto"/>
        <w:rPr>
          <w:sz w:val="32"/>
          <w:szCs w:val="32"/>
        </w:rPr>
      </w:pPr>
      <w:r>
        <w:br w:type="page"/>
      </w:r>
    </w:p>
    <w:p w:rsidR="00C37EAC" w:rsidRDefault="00C85CD3">
      <w:pPr>
        <w:pStyle w:val="Heading2"/>
      </w:pPr>
      <w:bookmarkStart w:id="24" w:name="_1ci93xb" w:colFirst="0" w:colLast="0"/>
      <w:bookmarkEnd w:id="24"/>
      <w:r>
        <w:lastRenderedPageBreak/>
        <w:t>2.5 Piloting and Implementation</w:t>
      </w:r>
    </w:p>
    <w:p w:rsidR="008E764B" w:rsidRPr="00D0289A" w:rsidRDefault="00D0289A" w:rsidP="00D0289A">
      <w:pPr>
        <w:rPr>
          <w:rFonts w:asciiTheme="majorHAnsi" w:eastAsia="Calibri" w:hAnsiTheme="majorHAnsi" w:cstheme="majorHAnsi"/>
          <w:color w:val="04326C"/>
          <w:sz w:val="20"/>
          <w:szCs w:val="20"/>
        </w:rPr>
      </w:pPr>
      <w:r w:rsidRPr="00D0289A">
        <w:rPr>
          <w:rFonts w:asciiTheme="majorHAnsi" w:eastAsia="Times New Roman" w:hAnsiTheme="majorHAnsi" w:cstheme="majorHAnsi"/>
          <w:b/>
          <w:bCs/>
          <w:color w:val="000000"/>
          <w:sz w:val="20"/>
          <w:szCs w:val="20"/>
          <w:u w:val="single"/>
        </w:rPr>
        <w:t>Progress Indicator #1:</w:t>
      </w:r>
      <w:r>
        <w:rPr>
          <w:rFonts w:asciiTheme="majorHAnsi" w:eastAsia="Times New Roman" w:hAnsiTheme="majorHAnsi" w:cstheme="majorHAnsi"/>
          <w:b/>
          <w:bCs/>
          <w:color w:val="000000"/>
          <w:sz w:val="20"/>
          <w:szCs w:val="20"/>
          <w:u w:val="single"/>
        </w:rPr>
        <w:t xml:space="preserve"> </w:t>
      </w:r>
      <w:r>
        <w:rPr>
          <w:rFonts w:asciiTheme="majorHAnsi" w:hAnsiTheme="majorHAnsi" w:cstheme="majorHAnsi"/>
          <w:color w:val="000000"/>
          <w:sz w:val="20"/>
          <w:szCs w:val="20"/>
        </w:rPr>
        <w:t xml:space="preserve">By December </w:t>
      </w:r>
      <w:r w:rsidRPr="004C1DBF">
        <w:rPr>
          <w:rFonts w:asciiTheme="majorHAnsi" w:hAnsiTheme="majorHAnsi" w:cstheme="majorHAnsi"/>
          <w:color w:val="000000"/>
          <w:sz w:val="20"/>
          <w:szCs w:val="20"/>
        </w:rPr>
        <w:t xml:space="preserve">2019, SOCRC </w:t>
      </w:r>
      <w:r>
        <w:rPr>
          <w:rFonts w:asciiTheme="majorHAnsi" w:hAnsiTheme="majorHAnsi" w:cstheme="majorHAnsi"/>
          <w:color w:val="000000"/>
          <w:sz w:val="20"/>
          <w:szCs w:val="20"/>
        </w:rPr>
        <w:t xml:space="preserve">governance plan will be revised and </w:t>
      </w:r>
      <w:r w:rsidRPr="004C1DBF">
        <w:rPr>
          <w:rFonts w:asciiTheme="majorHAnsi" w:hAnsiTheme="majorHAnsi" w:cstheme="majorHAnsi"/>
          <w:color w:val="000000"/>
          <w:sz w:val="20"/>
          <w:szCs w:val="20"/>
        </w:rPr>
        <w:t>byl</w:t>
      </w:r>
      <w:r>
        <w:rPr>
          <w:rFonts w:asciiTheme="majorHAnsi" w:hAnsiTheme="majorHAnsi" w:cstheme="majorHAnsi"/>
          <w:color w:val="000000"/>
          <w:sz w:val="20"/>
          <w:szCs w:val="20"/>
        </w:rPr>
        <w:t xml:space="preserve">aws will be created </w:t>
      </w:r>
      <w:r w:rsidRPr="004C1DBF">
        <w:rPr>
          <w:rFonts w:asciiTheme="majorHAnsi" w:hAnsiTheme="majorHAnsi" w:cstheme="majorHAnsi"/>
          <w:color w:val="000000"/>
          <w:sz w:val="20"/>
          <w:szCs w:val="20"/>
        </w:rPr>
        <w:t xml:space="preserve">to allow </w:t>
      </w:r>
      <w:proofErr w:type="gramStart"/>
      <w:r w:rsidRPr="004C1DBF">
        <w:rPr>
          <w:rFonts w:asciiTheme="majorHAnsi" w:hAnsiTheme="majorHAnsi" w:cstheme="majorHAnsi"/>
          <w:color w:val="000000"/>
          <w:sz w:val="20"/>
          <w:szCs w:val="20"/>
        </w:rPr>
        <w:t>for full</w:t>
      </w:r>
      <w:proofErr w:type="gramEnd"/>
      <w:r w:rsidRPr="004C1DBF">
        <w:rPr>
          <w:rFonts w:asciiTheme="majorHAnsi" w:hAnsiTheme="majorHAnsi" w:cstheme="majorHAnsi"/>
          <w:color w:val="000000"/>
          <w:sz w:val="20"/>
          <w:szCs w:val="20"/>
        </w:rPr>
        <w:t xml:space="preserve"> member participation to support each other and build capacity to deliver high quality adult education to meet community needs.  </w:t>
      </w: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Actions: </w:t>
      </w:r>
    </w:p>
    <w:p w:rsidR="008E764B" w:rsidRPr="00F44640" w:rsidRDefault="008E764B" w:rsidP="008E764B">
      <w:pPr>
        <w:numPr>
          <w:ilvl w:val="0"/>
          <w:numId w:val="16"/>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Develop committee that includes all 10 member to write bylaws, </w:t>
      </w:r>
    </w:p>
    <w:p w:rsidR="008E764B" w:rsidRPr="00F44640" w:rsidRDefault="008E764B" w:rsidP="008E764B">
      <w:pPr>
        <w:numPr>
          <w:ilvl w:val="0"/>
          <w:numId w:val="16"/>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Vote/Adopt bylaws </w:t>
      </w:r>
    </w:p>
    <w:p w:rsidR="008E764B" w:rsidRPr="00D0289A" w:rsidRDefault="008E764B" w:rsidP="00D0289A">
      <w:pPr>
        <w:numPr>
          <w:ilvl w:val="0"/>
          <w:numId w:val="16"/>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Develop training for members to be </w:t>
      </w:r>
      <w:r w:rsidR="00D96DC7">
        <w:rPr>
          <w:rFonts w:asciiTheme="majorHAnsi" w:eastAsia="Times New Roman" w:hAnsiTheme="majorHAnsi" w:cstheme="majorHAnsi"/>
          <w:color w:val="000000"/>
          <w:sz w:val="20"/>
          <w:szCs w:val="20"/>
        </w:rPr>
        <w:t xml:space="preserve">active participants </w:t>
      </w:r>
      <w:r w:rsidRPr="00F44640">
        <w:rPr>
          <w:rFonts w:asciiTheme="majorHAnsi" w:eastAsia="Times New Roman" w:hAnsiTheme="majorHAnsi" w:cstheme="majorHAnsi"/>
          <w:color w:val="000000"/>
          <w:sz w:val="20"/>
          <w:szCs w:val="20"/>
        </w:rPr>
        <w:t>in the Consortium  such as  Brown Act Training, Overview of AB 104</w:t>
      </w:r>
      <w:r w:rsidRPr="00D0289A">
        <w:rPr>
          <w:rFonts w:asciiTheme="majorHAnsi" w:eastAsia="Times New Roman" w:hAnsiTheme="majorHAnsi" w:cstheme="majorHAnsi"/>
          <w:color w:val="000000"/>
          <w:sz w:val="20"/>
          <w:szCs w:val="20"/>
        </w:rPr>
        <w:br/>
      </w:r>
    </w:p>
    <w:tbl>
      <w:tblPr>
        <w:tblW w:w="9360" w:type="dxa"/>
        <w:tblCellMar>
          <w:top w:w="15" w:type="dxa"/>
          <w:left w:w="15" w:type="dxa"/>
          <w:bottom w:w="15" w:type="dxa"/>
          <w:right w:w="15" w:type="dxa"/>
        </w:tblCellMar>
        <w:tblLook w:val="04A0" w:firstRow="1" w:lastRow="0" w:firstColumn="1" w:lastColumn="0" w:noHBand="0" w:noVBand="1"/>
      </w:tblPr>
      <w:tblGrid>
        <w:gridCol w:w="2488"/>
        <w:gridCol w:w="1858"/>
        <w:gridCol w:w="1899"/>
        <w:gridCol w:w="3115"/>
      </w:tblGrid>
      <w:tr w:rsidR="008E764B" w:rsidRPr="00F44640" w:rsidTr="008E764B">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Action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Members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Evidence/Outcome</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Establish Committee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May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 xml:space="preserve">All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List of Members, Meeting Dates Set</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Training of AB 104, Brown Act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June-July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Committee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Agendas, Notes, Established Calendar</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Writing of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August-October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Committee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Draft Bylaws</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Revision of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November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Consortium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Revision Notes</w:t>
            </w:r>
          </w:p>
        </w:tc>
      </w:tr>
      <w:tr w:rsidR="008E764B" w:rsidRPr="00F44640" w:rsidTr="008E764B">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Vote on Bylaws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December 2019</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Consortium Members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E764B" w:rsidRPr="00F44640" w:rsidRDefault="008E764B" w:rsidP="008E764B">
            <w:pPr>
              <w:spacing w:after="0" w:line="288" w:lineRule="atLeast"/>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t>Adopted Bylaws</w:t>
            </w:r>
          </w:p>
        </w:tc>
      </w:tr>
    </w:tbl>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8E764B" w:rsidRDefault="00D0289A" w:rsidP="008E764B">
      <w:pPr>
        <w:spacing w:after="0" w:line="331" w:lineRule="atLeast"/>
        <w:rPr>
          <w:rFonts w:asciiTheme="majorHAnsi" w:hAnsiTheme="majorHAnsi" w:cstheme="majorHAnsi"/>
          <w:color w:val="000000"/>
          <w:sz w:val="20"/>
          <w:szCs w:val="20"/>
        </w:rPr>
      </w:pPr>
      <w:r>
        <w:rPr>
          <w:rFonts w:asciiTheme="majorHAnsi" w:hAnsiTheme="majorHAnsi" w:cstheme="majorHAnsi"/>
          <w:b/>
          <w:color w:val="000000"/>
          <w:sz w:val="20"/>
          <w:szCs w:val="20"/>
          <w:u w:val="single"/>
        </w:rPr>
        <w:t xml:space="preserve">Progress Indicator #2: </w:t>
      </w:r>
      <w:r w:rsidRPr="004C1DBF">
        <w:rPr>
          <w:rFonts w:asciiTheme="majorHAnsi" w:hAnsiTheme="majorHAnsi" w:cstheme="majorHAnsi"/>
          <w:color w:val="000000"/>
          <w:sz w:val="20"/>
          <w:szCs w:val="20"/>
        </w:rPr>
        <w:t>B</w:t>
      </w:r>
      <w:r>
        <w:rPr>
          <w:rFonts w:asciiTheme="majorHAnsi" w:hAnsiTheme="majorHAnsi" w:cstheme="majorHAnsi"/>
          <w:color w:val="000000"/>
          <w:sz w:val="20"/>
          <w:szCs w:val="20"/>
        </w:rPr>
        <w:t xml:space="preserve">y June 2020, develop </w:t>
      </w:r>
      <w:r w:rsidRPr="004C1DBF">
        <w:rPr>
          <w:rFonts w:asciiTheme="majorHAnsi" w:hAnsiTheme="majorHAnsi" w:cstheme="majorHAnsi"/>
          <w:color w:val="000000"/>
          <w:sz w:val="20"/>
          <w:szCs w:val="20"/>
        </w:rPr>
        <w:t>an SOCRC program map that articulates the path to success from adult programs to college or workforce readiness.</w:t>
      </w:r>
    </w:p>
    <w:p w:rsidR="00D0289A" w:rsidRPr="00F44640" w:rsidRDefault="00D0289A" w:rsidP="008E764B">
      <w:pPr>
        <w:spacing w:after="0" w:line="331" w:lineRule="atLeast"/>
        <w:rPr>
          <w:rFonts w:asciiTheme="majorHAnsi" w:eastAsia="Times New Roman" w:hAnsiTheme="majorHAnsi" w:cstheme="majorHAnsi"/>
          <w:color w:val="000000"/>
          <w:sz w:val="20"/>
          <w:szCs w:val="20"/>
        </w:rPr>
      </w:pP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Actions:</w:t>
      </w:r>
    </w:p>
    <w:p w:rsidR="009F1285" w:rsidRDefault="00F44640" w:rsidP="00D0289A">
      <w:pPr>
        <w:numPr>
          <w:ilvl w:val="0"/>
          <w:numId w:val="17"/>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Develop</w:t>
      </w:r>
      <w:r w:rsidR="008E764B" w:rsidRPr="00F44640">
        <w:rPr>
          <w:rFonts w:asciiTheme="majorHAnsi" w:eastAsia="Times New Roman" w:hAnsiTheme="majorHAnsi" w:cstheme="majorHAnsi"/>
          <w:color w:val="000000"/>
          <w:sz w:val="20"/>
          <w:szCs w:val="20"/>
        </w:rPr>
        <w:t xml:space="preserve"> a consortium-wide program roadmap that provides many paths to success.  See sample from Sonoma County Adult Education (SCAE)</w:t>
      </w:r>
    </w:p>
    <w:p w:rsidR="00D0289A" w:rsidRPr="00D0289A" w:rsidRDefault="00D0289A" w:rsidP="00D0289A">
      <w:pPr>
        <w:spacing w:after="0" w:line="303" w:lineRule="atLeast"/>
        <w:ind w:left="720"/>
        <w:textAlignment w:val="baseline"/>
        <w:rPr>
          <w:rFonts w:asciiTheme="majorHAnsi" w:eastAsia="Times New Roman" w:hAnsiTheme="majorHAnsi" w:cstheme="majorHAnsi"/>
          <w:color w:val="000000"/>
          <w:sz w:val="20"/>
          <w:szCs w:val="20"/>
        </w:rPr>
      </w:pPr>
    </w:p>
    <w:tbl>
      <w:tblPr>
        <w:tblW w:w="9360" w:type="dxa"/>
        <w:tblLook w:val="04A0" w:firstRow="1" w:lastRow="0" w:firstColumn="1" w:lastColumn="0" w:noHBand="0" w:noVBand="1"/>
      </w:tblPr>
      <w:tblGrid>
        <w:gridCol w:w="4338"/>
        <w:gridCol w:w="1488"/>
        <w:gridCol w:w="1572"/>
        <w:gridCol w:w="1962"/>
      </w:tblGrid>
      <w:tr w:rsidR="009F1285" w:rsidTr="009F1285">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Evidence/Outcome</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Discuss Elements for</w:t>
            </w:r>
          </w:p>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Program Roadmap, establish members for project, and who will produce the final version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Draft Program Roadmap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February-March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Assigned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Draft Roadmap </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Present Draft Program Roadmap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lastRenderedPageBreak/>
              <w:t>Revision of Program Roadmap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Assigned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Revision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Provide completed version to</w:t>
            </w:r>
          </w:p>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 to publicize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Consortium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Verification on websites </w:t>
            </w:r>
          </w:p>
        </w:tc>
      </w:tr>
    </w:tbl>
    <w:p w:rsidR="009F1285" w:rsidRPr="00F44640" w:rsidRDefault="009F1285" w:rsidP="009F1285">
      <w:pPr>
        <w:spacing w:after="0" w:line="303" w:lineRule="atLeast"/>
        <w:textAlignment w:val="baseline"/>
        <w:rPr>
          <w:rFonts w:asciiTheme="majorHAnsi" w:eastAsia="Times New Roman" w:hAnsiTheme="majorHAnsi" w:cstheme="majorHAnsi"/>
          <w:color w:val="000000"/>
          <w:sz w:val="20"/>
          <w:szCs w:val="20"/>
        </w:rPr>
      </w:pPr>
    </w:p>
    <w:p w:rsidR="00D0289A" w:rsidRPr="004C1DBF" w:rsidRDefault="00D0289A" w:rsidP="00D0289A">
      <w:pPr>
        <w:spacing w:after="0" w:line="240" w:lineRule="auto"/>
        <w:rPr>
          <w:rFonts w:asciiTheme="majorHAnsi" w:hAnsiTheme="majorHAnsi" w:cstheme="majorHAnsi"/>
          <w:color w:val="04326C"/>
          <w:sz w:val="20"/>
          <w:szCs w:val="20"/>
        </w:rPr>
      </w:pPr>
      <w:r>
        <w:rPr>
          <w:rFonts w:asciiTheme="majorHAnsi" w:hAnsiTheme="majorHAnsi" w:cstheme="majorHAnsi"/>
          <w:b/>
          <w:color w:val="000000"/>
          <w:sz w:val="20"/>
          <w:szCs w:val="20"/>
          <w:u w:val="single"/>
        </w:rPr>
        <w:t xml:space="preserve">Progress Indicator #3: </w:t>
      </w:r>
      <w:r w:rsidRPr="004C1DBF">
        <w:rPr>
          <w:rFonts w:asciiTheme="majorHAnsi" w:hAnsiTheme="majorHAnsi" w:cstheme="majorHAnsi"/>
          <w:color w:val="000000"/>
          <w:sz w:val="20"/>
          <w:szCs w:val="20"/>
        </w:rPr>
        <w:t xml:space="preserve">By June 2022, </w:t>
      </w:r>
      <w:r>
        <w:rPr>
          <w:rFonts w:asciiTheme="majorHAnsi" w:hAnsiTheme="majorHAnsi" w:cstheme="majorHAnsi"/>
          <w:color w:val="000000"/>
          <w:sz w:val="20"/>
          <w:szCs w:val="20"/>
        </w:rPr>
        <w:t>create articulation plan</w:t>
      </w:r>
      <w:r w:rsidRPr="004C1DBF">
        <w:rPr>
          <w:rFonts w:asciiTheme="majorHAnsi" w:hAnsiTheme="majorHAnsi" w:cstheme="majorHAnsi"/>
          <w:color w:val="000000"/>
          <w:sz w:val="20"/>
          <w:szCs w:val="20"/>
        </w:rPr>
        <w:t xml:space="preserve"> among the various programs offere</w:t>
      </w:r>
      <w:r>
        <w:rPr>
          <w:rFonts w:asciiTheme="majorHAnsi" w:hAnsiTheme="majorHAnsi" w:cstheme="majorHAnsi"/>
          <w:color w:val="000000"/>
          <w:sz w:val="20"/>
          <w:szCs w:val="20"/>
        </w:rPr>
        <w:t>d within the consortium</w:t>
      </w:r>
      <w:r w:rsidRPr="004C1DBF">
        <w:rPr>
          <w:rFonts w:asciiTheme="majorHAnsi" w:hAnsiTheme="majorHAnsi" w:cstheme="majorHAnsi"/>
          <w:color w:val="000000"/>
          <w:sz w:val="20"/>
          <w:szCs w:val="20"/>
        </w:rPr>
        <w:t>.</w:t>
      </w:r>
      <w:r w:rsidRPr="004C1DBF">
        <w:rPr>
          <w:rFonts w:asciiTheme="majorHAnsi" w:eastAsia="Arial" w:hAnsiTheme="majorHAnsi" w:cstheme="majorHAnsi"/>
          <w:color w:val="04326C"/>
          <w:sz w:val="20"/>
          <w:szCs w:val="20"/>
        </w:rPr>
        <w:t>    </w:t>
      </w:r>
    </w:p>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 xml:space="preserve">Actions: </w:t>
      </w:r>
    </w:p>
    <w:p w:rsidR="008E764B" w:rsidRPr="00F44640" w:rsidRDefault="00210FBA"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Members will share current offerings for each program</w:t>
      </w:r>
    </w:p>
    <w:p w:rsidR="008E764B" w:rsidRPr="00F44640" w:rsidRDefault="008E764B"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Members (faculty, counselors, administration) will come together to articulate the class progression and alignment of offerings</w:t>
      </w:r>
    </w:p>
    <w:p w:rsidR="008E764B" w:rsidRDefault="00281FE8"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Create articulation plan</w:t>
      </w:r>
      <w:r w:rsidR="008E764B" w:rsidRPr="00F44640">
        <w:rPr>
          <w:rFonts w:asciiTheme="majorHAnsi" w:eastAsia="Times New Roman" w:hAnsiTheme="majorHAnsi" w:cstheme="majorHAnsi"/>
          <w:color w:val="000000"/>
          <w:sz w:val="20"/>
          <w:szCs w:val="20"/>
        </w:rPr>
        <w:t xml:space="preserve"> for consortium to share</w:t>
      </w:r>
    </w:p>
    <w:p w:rsidR="00281FE8" w:rsidRPr="00F44640" w:rsidRDefault="00281FE8" w:rsidP="008E764B">
      <w:pPr>
        <w:numPr>
          <w:ilvl w:val="0"/>
          <w:numId w:val="18"/>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Create a common SOCRC individual learning plan document</w:t>
      </w:r>
    </w:p>
    <w:p w:rsidR="009F1285" w:rsidRDefault="008E764B" w:rsidP="009F1285">
      <w:pPr>
        <w:spacing w:after="0" w:line="240" w:lineRule="auto"/>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br/>
      </w:r>
    </w:p>
    <w:tbl>
      <w:tblPr>
        <w:tblW w:w="9360" w:type="dxa"/>
        <w:tblLook w:val="04A0" w:firstRow="1" w:lastRow="0" w:firstColumn="1" w:lastColumn="0" w:noHBand="0" w:noVBand="1"/>
      </w:tblPr>
      <w:tblGrid>
        <w:gridCol w:w="2907"/>
        <w:gridCol w:w="1332"/>
        <w:gridCol w:w="2417"/>
        <w:gridCol w:w="2704"/>
      </w:tblGrid>
      <w:tr w:rsidR="009F1285" w:rsidTr="009F128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Evidence/Outcome</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Collect class offerings from Consortium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January-February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Drive Folder with list of offerings from each member</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Discuss priorities of progression and alignment of offerings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Establish of  leadership team to lead effort of faculty and counselors to meet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Referral 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meets to determine action plan for upcoming Articulation Retreat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May-August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Articulation Retreat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Early October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draft Articulation Plan</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Share out to Consortium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December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Revise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Draft Articulation Plan</w:t>
            </w:r>
          </w:p>
        </w:tc>
      </w:tr>
    </w:tbl>
    <w:p w:rsidR="008E764B" w:rsidRPr="00F44640" w:rsidRDefault="008E764B" w:rsidP="008E764B">
      <w:pPr>
        <w:spacing w:after="0" w:line="240" w:lineRule="auto"/>
        <w:rPr>
          <w:rFonts w:asciiTheme="majorHAnsi" w:eastAsia="Times New Roman" w:hAnsiTheme="majorHAnsi" w:cstheme="majorHAnsi"/>
          <w:color w:val="auto"/>
          <w:sz w:val="20"/>
          <w:szCs w:val="20"/>
        </w:rPr>
      </w:pPr>
    </w:p>
    <w:tbl>
      <w:tblPr>
        <w:tblW w:w="9360" w:type="dxa"/>
        <w:tblLook w:val="04A0" w:firstRow="1" w:lastRow="0" w:firstColumn="1" w:lastColumn="0" w:noHBand="0" w:noVBand="1"/>
      </w:tblPr>
      <w:tblGrid>
        <w:gridCol w:w="3418"/>
        <w:gridCol w:w="1484"/>
        <w:gridCol w:w="2512"/>
        <w:gridCol w:w="1946"/>
      </w:tblGrid>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lastRenderedPageBreak/>
              <w:t>Second Articulation Retreat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Late April/Early May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draft Articulation Plan</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Share out to Consortium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Final Revisions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September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Leadership Team and Faculty/Counselor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Draft Articulation Plan</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Final Draft and establishing  process for Maintenance of Articulation Agreement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Articulation Plan</w:t>
            </w:r>
          </w:p>
        </w:tc>
      </w:tr>
    </w:tbl>
    <w:p w:rsidR="009F1285" w:rsidRDefault="009F1285" w:rsidP="009F1285">
      <w:pPr>
        <w:spacing w:after="0" w:line="240" w:lineRule="auto"/>
        <w:rPr>
          <w:rFonts w:asciiTheme="majorHAnsi" w:eastAsia="Times New Roman" w:hAnsiTheme="majorHAnsi" w:cstheme="majorHAnsi"/>
          <w:color w:val="auto"/>
          <w:sz w:val="20"/>
          <w:szCs w:val="20"/>
        </w:rPr>
      </w:pPr>
    </w:p>
    <w:p w:rsidR="00D0289A" w:rsidRPr="00D0289A" w:rsidRDefault="008E764B" w:rsidP="00D0289A">
      <w:pPr>
        <w:spacing w:after="0" w:line="240" w:lineRule="auto"/>
        <w:rPr>
          <w:rFonts w:asciiTheme="majorHAnsi" w:eastAsia="Times New Roman" w:hAnsiTheme="majorHAnsi" w:cstheme="majorHAnsi"/>
          <w:color w:val="auto"/>
          <w:sz w:val="20"/>
          <w:szCs w:val="20"/>
        </w:rPr>
      </w:pPr>
      <w:r w:rsidRPr="00F44640">
        <w:rPr>
          <w:rFonts w:asciiTheme="majorHAnsi" w:eastAsia="Times New Roman" w:hAnsiTheme="majorHAnsi" w:cstheme="majorHAnsi"/>
          <w:color w:val="000000"/>
          <w:sz w:val="20"/>
          <w:szCs w:val="20"/>
        </w:rPr>
        <w:br/>
      </w:r>
      <w:r w:rsidR="00D0289A">
        <w:rPr>
          <w:rFonts w:asciiTheme="majorHAnsi" w:eastAsia="Times New Roman" w:hAnsiTheme="majorHAnsi" w:cstheme="majorHAnsi"/>
          <w:b/>
          <w:color w:val="auto"/>
          <w:sz w:val="20"/>
          <w:szCs w:val="20"/>
          <w:u w:val="single"/>
        </w:rPr>
        <w:t xml:space="preserve">Progress Indicator #4: </w:t>
      </w:r>
      <w:r w:rsidR="00D0289A" w:rsidRPr="004C1DBF">
        <w:rPr>
          <w:rFonts w:asciiTheme="majorHAnsi" w:hAnsiTheme="majorHAnsi" w:cstheme="majorHAnsi"/>
          <w:color w:val="000000"/>
          <w:sz w:val="20"/>
          <w:szCs w:val="20"/>
        </w:rPr>
        <w:t>By June 2021, a 3-5% increase in completion/progre</w:t>
      </w:r>
      <w:r w:rsidR="00D0289A">
        <w:rPr>
          <w:rFonts w:asciiTheme="majorHAnsi" w:hAnsiTheme="majorHAnsi" w:cstheme="majorHAnsi"/>
          <w:color w:val="000000"/>
          <w:sz w:val="20"/>
          <w:szCs w:val="20"/>
        </w:rPr>
        <w:t>ssion of students in program learning</w:t>
      </w:r>
      <w:r w:rsidR="00D0289A" w:rsidRPr="004C1DBF">
        <w:rPr>
          <w:rFonts w:asciiTheme="majorHAnsi" w:hAnsiTheme="majorHAnsi" w:cstheme="majorHAnsi"/>
          <w:color w:val="000000"/>
          <w:sz w:val="20"/>
          <w:szCs w:val="20"/>
        </w:rPr>
        <w:t xml:space="preserve"> gains, high school diploma/HSE completion, </w:t>
      </w:r>
      <w:r w:rsidR="00D0289A">
        <w:rPr>
          <w:rFonts w:asciiTheme="majorHAnsi" w:hAnsiTheme="majorHAnsi" w:cstheme="majorHAnsi"/>
          <w:color w:val="000000"/>
          <w:sz w:val="20"/>
          <w:szCs w:val="20"/>
        </w:rPr>
        <w:t xml:space="preserve">and/or </w:t>
      </w:r>
      <w:r w:rsidR="00D0289A" w:rsidRPr="004C1DBF">
        <w:rPr>
          <w:rFonts w:asciiTheme="majorHAnsi" w:hAnsiTheme="majorHAnsi" w:cstheme="majorHAnsi"/>
          <w:color w:val="000000"/>
          <w:sz w:val="20"/>
          <w:szCs w:val="20"/>
        </w:rPr>
        <w:t>transfer to college or employment.  </w:t>
      </w:r>
    </w:p>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8E764B" w:rsidRPr="00F44640" w:rsidRDefault="008E764B" w:rsidP="008E764B">
      <w:pPr>
        <w:spacing w:after="0" w:line="331" w:lineRule="atLeast"/>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Actions:</w:t>
      </w:r>
    </w:p>
    <w:p w:rsidR="008E764B" w:rsidRPr="00F44640" w:rsidRDefault="008E764B"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Determine how completion translates for each program and agency</w:t>
      </w:r>
    </w:p>
    <w:p w:rsidR="008E764B" w:rsidRPr="00F44640" w:rsidRDefault="008E764B"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Establish a tool to use to report completion from each agency that can be shared</w:t>
      </w:r>
    </w:p>
    <w:p w:rsidR="008E764B" w:rsidRDefault="008E764B"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sidRPr="00F44640">
        <w:rPr>
          <w:rFonts w:asciiTheme="majorHAnsi" w:eastAsia="Times New Roman" w:hAnsiTheme="majorHAnsi" w:cstheme="majorHAnsi"/>
          <w:color w:val="000000"/>
          <w:sz w:val="20"/>
          <w:szCs w:val="20"/>
        </w:rPr>
        <w:t>Reflect on collected data to share best practices to increase completion rates biannually  </w:t>
      </w:r>
    </w:p>
    <w:p w:rsidR="00D85269" w:rsidRPr="00F44640" w:rsidRDefault="00D85269" w:rsidP="008E764B">
      <w:pPr>
        <w:numPr>
          <w:ilvl w:val="0"/>
          <w:numId w:val="19"/>
        </w:numPr>
        <w:spacing w:after="0" w:line="303" w:lineRule="atLeast"/>
        <w:textAlignment w:val="baseline"/>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Biannual (January and June) evaluation of program effectiveness (student survey data) and progress on 3-year plan goals</w:t>
      </w:r>
    </w:p>
    <w:p w:rsidR="008E764B" w:rsidRPr="00F44640" w:rsidRDefault="008E764B" w:rsidP="008E764B">
      <w:pPr>
        <w:spacing w:after="0" w:line="240" w:lineRule="auto"/>
        <w:rPr>
          <w:rFonts w:asciiTheme="majorHAnsi" w:eastAsia="Times New Roman" w:hAnsiTheme="majorHAnsi" w:cstheme="majorHAnsi"/>
          <w:color w:val="auto"/>
          <w:sz w:val="20"/>
          <w:szCs w:val="20"/>
        </w:rPr>
      </w:pPr>
    </w:p>
    <w:p w:rsidR="009F1285" w:rsidRDefault="009F1285" w:rsidP="009F1285">
      <w:pPr>
        <w:spacing w:after="0" w:line="240" w:lineRule="auto"/>
        <w:rPr>
          <w:rFonts w:asciiTheme="majorHAnsi" w:eastAsia="Times New Roman" w:hAnsiTheme="majorHAnsi" w:cstheme="majorHAnsi"/>
          <w:color w:val="auto"/>
          <w:sz w:val="20"/>
          <w:szCs w:val="20"/>
        </w:rPr>
      </w:pPr>
    </w:p>
    <w:tbl>
      <w:tblPr>
        <w:tblW w:w="9360" w:type="dxa"/>
        <w:tblLook w:val="04A0" w:firstRow="1" w:lastRow="0" w:firstColumn="1" w:lastColumn="0" w:noHBand="0" w:noVBand="1"/>
      </w:tblPr>
      <w:tblGrid>
        <w:gridCol w:w="3864"/>
        <w:gridCol w:w="1501"/>
        <w:gridCol w:w="983"/>
        <w:gridCol w:w="3012"/>
      </w:tblGrid>
      <w:tr w:rsidR="009F1285" w:rsidTr="009F1285">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Action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Members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Evidence/Outcome</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Discuss how completion/progress for programs is collected by agency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January-February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Drive folder</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Determine what key indicators the consortium will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March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Create student survey for agencies to give to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Give student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May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Forms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Collect data from each agency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June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Sheet/TOPS Pro/Inform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Analyze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August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Plan Professional Development based on data results.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September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and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Professional Development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Early October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Session Speakers Notes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lastRenderedPageBreak/>
              <w:t>Give student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December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Forms</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 xml:space="preserve">Collect data from each agency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January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Google Sheet/TOPS Pro/Inform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Analyze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February-March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r w:rsidR="009F1285" w:rsidTr="009F12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Assess cycle to determine if data collection and analysis shows increase of data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April-June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1285" w:rsidRDefault="009F1285">
            <w:pPr>
              <w:spacing w:after="0" w:line="240" w:lineRule="auto"/>
              <w:rPr>
                <w:rFonts w:ascii="Times New Roman" w:eastAsia="Times New Roman" w:hAnsi="Times New Roman" w:cs="Times New Roman"/>
                <w:color w:val="auto"/>
                <w:sz w:val="24"/>
                <w:szCs w:val="24"/>
              </w:rPr>
            </w:pPr>
            <w:r>
              <w:rPr>
                <w:rFonts w:ascii="Calibri" w:eastAsia="Times New Roman" w:hAnsi="Calibri" w:cs="Calibri"/>
                <w:color w:val="000000"/>
                <w:sz w:val="20"/>
                <w:szCs w:val="20"/>
              </w:rPr>
              <w:t>Agenda, Notes, and Google Sheet/</w:t>
            </w:r>
            <w:proofErr w:type="spellStart"/>
            <w:r>
              <w:rPr>
                <w:rFonts w:ascii="Calibri" w:eastAsia="Times New Roman" w:hAnsi="Calibri" w:cs="Calibri"/>
                <w:color w:val="000000"/>
                <w:sz w:val="20"/>
                <w:szCs w:val="20"/>
              </w:rPr>
              <w:t>TOPSPro</w:t>
            </w:r>
            <w:proofErr w:type="spellEnd"/>
            <w:r>
              <w:rPr>
                <w:rFonts w:ascii="Calibri" w:eastAsia="Times New Roman" w:hAnsi="Calibri" w:cs="Calibri"/>
                <w:color w:val="000000"/>
                <w:sz w:val="20"/>
                <w:szCs w:val="20"/>
              </w:rPr>
              <w:t>/Inform</w:t>
            </w:r>
          </w:p>
        </w:tc>
      </w:tr>
    </w:tbl>
    <w:p w:rsidR="009F1285" w:rsidRDefault="009F1285" w:rsidP="009F1285">
      <w:pPr>
        <w:pStyle w:val="NormalWeb"/>
        <w:spacing w:before="0" w:beforeAutospacing="0" w:after="0" w:afterAutospacing="0"/>
        <w:rPr>
          <w:rFonts w:asciiTheme="majorHAnsi" w:eastAsia="Calibri" w:hAnsiTheme="majorHAnsi" w:cstheme="majorHAnsi"/>
          <w:color w:val="04326C"/>
          <w:sz w:val="20"/>
          <w:szCs w:val="20"/>
        </w:rPr>
      </w:pPr>
      <w:r>
        <w:rPr>
          <w:rFonts w:asciiTheme="majorHAnsi" w:hAnsiTheme="majorHAnsi" w:cstheme="majorHAnsi"/>
          <w:color w:val="000000"/>
          <w:sz w:val="20"/>
          <w:szCs w:val="20"/>
        </w:rPr>
        <w:br/>
      </w:r>
    </w:p>
    <w:p w:rsidR="00C37EAC" w:rsidRPr="00F44640" w:rsidRDefault="008E764B">
      <w:pPr>
        <w:spacing w:after="0" w:line="240" w:lineRule="auto"/>
        <w:rPr>
          <w:rFonts w:asciiTheme="majorHAnsi" w:eastAsia="Calibri" w:hAnsiTheme="majorHAnsi" w:cstheme="majorHAnsi"/>
          <w:color w:val="04326C"/>
          <w:sz w:val="20"/>
          <w:szCs w:val="20"/>
        </w:rPr>
      </w:pPr>
      <w:r w:rsidRPr="00F44640">
        <w:rPr>
          <w:rFonts w:asciiTheme="majorHAnsi" w:eastAsia="Times New Roman" w:hAnsiTheme="majorHAnsi" w:cstheme="majorHAnsi"/>
          <w:color w:val="000000"/>
          <w:sz w:val="20"/>
          <w:szCs w:val="20"/>
        </w:rPr>
        <w:br/>
      </w:r>
    </w:p>
    <w:sectPr w:rsidR="00C37EAC" w:rsidRPr="00F44640" w:rsidSect="001F2409">
      <w:pgSz w:w="12240" w:h="15840"/>
      <w:pgMar w:top="173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13" w:rsidRDefault="00627013">
      <w:pPr>
        <w:spacing w:after="0" w:line="240" w:lineRule="auto"/>
      </w:pPr>
      <w:r>
        <w:separator/>
      </w:r>
    </w:p>
  </w:endnote>
  <w:endnote w:type="continuationSeparator" w:id="0">
    <w:p w:rsidR="00627013" w:rsidRDefault="0062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spacing w:after="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pBdr>
        <w:top w:val="nil"/>
        <w:left w:val="nil"/>
        <w:bottom w:val="nil"/>
        <w:right w:val="nil"/>
        <w:between w:val="nil"/>
      </w:pBdr>
      <w:tabs>
        <w:tab w:val="center" w:pos="4680"/>
        <w:tab w:val="right" w:pos="9360"/>
      </w:tabs>
      <w:spacing w:after="0" w:line="240" w:lineRule="auto"/>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13" w:rsidRDefault="00627013">
      <w:pPr>
        <w:spacing w:after="0" w:line="240" w:lineRule="auto"/>
      </w:pPr>
      <w:r>
        <w:separator/>
      </w:r>
    </w:p>
  </w:footnote>
  <w:footnote w:type="continuationSeparator" w:id="0">
    <w:p w:rsidR="00627013" w:rsidRDefault="00627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jc w:val="right"/>
      <w:rPr>
        <w:color w:val="FF0000"/>
      </w:rPr>
    </w:pPr>
    <w:r>
      <w:t>South Orange County Regional Consortium</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856232" cy="484632"/>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232" cy="48463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26" w:rsidRDefault="000A3F26">
    <w:pPr>
      <w:spacing w:after="0" w:line="240" w:lineRule="auto"/>
      <w:ind w:right="-450"/>
      <w:jc w:val="right"/>
      <w:rPr>
        <w:color w:val="666666"/>
        <w:sz w:val="32"/>
        <w:szCs w:val="32"/>
      </w:rPr>
    </w:pPr>
    <w:r>
      <w:rPr>
        <w:color w:val="666666"/>
        <w:sz w:val="32"/>
        <w:szCs w:val="32"/>
      </w:rPr>
      <w:t>CONSORTIUM THREE-YEAR PLAN</w:t>
    </w:r>
  </w:p>
  <w:p w:rsidR="000A3F26" w:rsidRDefault="000A3F26">
    <w:pPr>
      <w:spacing w:after="0" w:line="240" w:lineRule="auto"/>
      <w:ind w:right="-450"/>
      <w:jc w:val="right"/>
      <w:rPr>
        <w:color w:val="666666"/>
        <w:sz w:val="32"/>
        <w:szCs w:val="32"/>
      </w:rPr>
    </w:pPr>
    <w:r>
      <w:rPr>
        <w:color w:val="666666"/>
        <w:sz w:val="32"/>
        <w:szCs w:val="32"/>
      </w:rPr>
      <w:t>2019-2022</w:t>
    </w:r>
  </w:p>
  <w:p w:rsidR="000A3F26" w:rsidRDefault="000A3F26">
    <w:pPr>
      <w:pBdr>
        <w:top w:val="nil"/>
        <w:left w:val="nil"/>
        <w:bottom w:val="nil"/>
        <w:right w:val="nil"/>
        <w:between w:val="nil"/>
      </w:pBdr>
      <w:tabs>
        <w:tab w:val="center" w:pos="4680"/>
        <w:tab w:val="right" w:pos="9360"/>
      </w:tabs>
      <w:spacing w:after="0" w:line="240" w:lineRule="auto"/>
    </w:pPr>
    <w:r>
      <w:rPr>
        <w:noProof/>
      </w:rPr>
      <w:drawing>
        <wp:anchor distT="0" distB="0" distL="114300" distR="114300" simplePos="0" relativeHeight="251659264" behindDoc="0" locked="0" layoutInCell="1" hidden="0" allowOverlap="1">
          <wp:simplePos x="0" y="0"/>
          <wp:positionH relativeFrom="column">
            <wp:posOffset>-418010</wp:posOffset>
          </wp:positionH>
          <wp:positionV relativeFrom="paragraph">
            <wp:posOffset>0</wp:posOffset>
          </wp:positionV>
          <wp:extent cx="1856105" cy="4845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6105" cy="484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025"/>
    <w:multiLevelType w:val="multilevel"/>
    <w:tmpl w:val="12D8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674D7"/>
    <w:multiLevelType w:val="multilevel"/>
    <w:tmpl w:val="47E20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2726"/>
    <w:multiLevelType w:val="hybridMultilevel"/>
    <w:tmpl w:val="2358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6141C"/>
    <w:multiLevelType w:val="multilevel"/>
    <w:tmpl w:val="2F4AB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24451"/>
    <w:multiLevelType w:val="multilevel"/>
    <w:tmpl w:val="228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07642"/>
    <w:multiLevelType w:val="hybridMultilevel"/>
    <w:tmpl w:val="2C2AC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222E"/>
    <w:multiLevelType w:val="multilevel"/>
    <w:tmpl w:val="F618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4F3121"/>
    <w:multiLevelType w:val="hybridMultilevel"/>
    <w:tmpl w:val="D220D468"/>
    <w:lvl w:ilvl="0" w:tplc="2EA48E7E">
      <w:start w:val="1"/>
      <w:numFmt w:val="bullet"/>
      <w:lvlText w:val="•"/>
      <w:lvlJc w:val="left"/>
      <w:pPr>
        <w:tabs>
          <w:tab w:val="num" w:pos="720"/>
        </w:tabs>
        <w:ind w:left="720" w:hanging="360"/>
      </w:pPr>
      <w:rPr>
        <w:rFonts w:ascii="Arial" w:hAnsi="Arial" w:hint="default"/>
      </w:rPr>
    </w:lvl>
    <w:lvl w:ilvl="1" w:tplc="122C879C">
      <w:start w:val="110"/>
      <w:numFmt w:val="bullet"/>
      <w:lvlText w:val="•"/>
      <w:lvlJc w:val="left"/>
      <w:pPr>
        <w:tabs>
          <w:tab w:val="num" w:pos="1440"/>
        </w:tabs>
        <w:ind w:left="1440" w:hanging="360"/>
      </w:pPr>
      <w:rPr>
        <w:rFonts w:ascii="Arial" w:hAnsi="Arial" w:hint="default"/>
      </w:rPr>
    </w:lvl>
    <w:lvl w:ilvl="2" w:tplc="CF1A90CC" w:tentative="1">
      <w:start w:val="1"/>
      <w:numFmt w:val="bullet"/>
      <w:lvlText w:val="•"/>
      <w:lvlJc w:val="left"/>
      <w:pPr>
        <w:tabs>
          <w:tab w:val="num" w:pos="2160"/>
        </w:tabs>
        <w:ind w:left="2160" w:hanging="360"/>
      </w:pPr>
      <w:rPr>
        <w:rFonts w:ascii="Arial" w:hAnsi="Arial" w:hint="default"/>
      </w:rPr>
    </w:lvl>
    <w:lvl w:ilvl="3" w:tplc="66AAF04E" w:tentative="1">
      <w:start w:val="1"/>
      <w:numFmt w:val="bullet"/>
      <w:lvlText w:val="•"/>
      <w:lvlJc w:val="left"/>
      <w:pPr>
        <w:tabs>
          <w:tab w:val="num" w:pos="2880"/>
        </w:tabs>
        <w:ind w:left="2880" w:hanging="360"/>
      </w:pPr>
      <w:rPr>
        <w:rFonts w:ascii="Arial" w:hAnsi="Arial" w:hint="default"/>
      </w:rPr>
    </w:lvl>
    <w:lvl w:ilvl="4" w:tplc="A8CE9542" w:tentative="1">
      <w:start w:val="1"/>
      <w:numFmt w:val="bullet"/>
      <w:lvlText w:val="•"/>
      <w:lvlJc w:val="left"/>
      <w:pPr>
        <w:tabs>
          <w:tab w:val="num" w:pos="3600"/>
        </w:tabs>
        <w:ind w:left="3600" w:hanging="360"/>
      </w:pPr>
      <w:rPr>
        <w:rFonts w:ascii="Arial" w:hAnsi="Arial" w:hint="default"/>
      </w:rPr>
    </w:lvl>
    <w:lvl w:ilvl="5" w:tplc="8884CB14" w:tentative="1">
      <w:start w:val="1"/>
      <w:numFmt w:val="bullet"/>
      <w:lvlText w:val="•"/>
      <w:lvlJc w:val="left"/>
      <w:pPr>
        <w:tabs>
          <w:tab w:val="num" w:pos="4320"/>
        </w:tabs>
        <w:ind w:left="4320" w:hanging="360"/>
      </w:pPr>
      <w:rPr>
        <w:rFonts w:ascii="Arial" w:hAnsi="Arial" w:hint="default"/>
      </w:rPr>
    </w:lvl>
    <w:lvl w:ilvl="6" w:tplc="5FBE604C" w:tentative="1">
      <w:start w:val="1"/>
      <w:numFmt w:val="bullet"/>
      <w:lvlText w:val="•"/>
      <w:lvlJc w:val="left"/>
      <w:pPr>
        <w:tabs>
          <w:tab w:val="num" w:pos="5040"/>
        </w:tabs>
        <w:ind w:left="5040" w:hanging="360"/>
      </w:pPr>
      <w:rPr>
        <w:rFonts w:ascii="Arial" w:hAnsi="Arial" w:hint="default"/>
      </w:rPr>
    </w:lvl>
    <w:lvl w:ilvl="7" w:tplc="E2C42B5E" w:tentative="1">
      <w:start w:val="1"/>
      <w:numFmt w:val="bullet"/>
      <w:lvlText w:val="•"/>
      <w:lvlJc w:val="left"/>
      <w:pPr>
        <w:tabs>
          <w:tab w:val="num" w:pos="5760"/>
        </w:tabs>
        <w:ind w:left="5760" w:hanging="360"/>
      </w:pPr>
      <w:rPr>
        <w:rFonts w:ascii="Arial" w:hAnsi="Arial" w:hint="default"/>
      </w:rPr>
    </w:lvl>
    <w:lvl w:ilvl="8" w:tplc="370AF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E06E4D"/>
    <w:multiLevelType w:val="hybridMultilevel"/>
    <w:tmpl w:val="A61284D0"/>
    <w:lvl w:ilvl="0" w:tplc="9D3EBED2">
      <w:start w:val="1"/>
      <w:numFmt w:val="bullet"/>
      <w:lvlText w:val="•"/>
      <w:lvlJc w:val="left"/>
      <w:pPr>
        <w:tabs>
          <w:tab w:val="num" w:pos="720"/>
        </w:tabs>
        <w:ind w:left="720" w:hanging="360"/>
      </w:pPr>
      <w:rPr>
        <w:rFonts w:ascii="Arial" w:hAnsi="Arial" w:hint="default"/>
      </w:rPr>
    </w:lvl>
    <w:lvl w:ilvl="1" w:tplc="255218CE" w:tentative="1">
      <w:start w:val="1"/>
      <w:numFmt w:val="bullet"/>
      <w:lvlText w:val="•"/>
      <w:lvlJc w:val="left"/>
      <w:pPr>
        <w:tabs>
          <w:tab w:val="num" w:pos="1440"/>
        </w:tabs>
        <w:ind w:left="1440" w:hanging="360"/>
      </w:pPr>
      <w:rPr>
        <w:rFonts w:ascii="Arial" w:hAnsi="Arial" w:hint="default"/>
      </w:rPr>
    </w:lvl>
    <w:lvl w:ilvl="2" w:tplc="0C6E3A22" w:tentative="1">
      <w:start w:val="1"/>
      <w:numFmt w:val="bullet"/>
      <w:lvlText w:val="•"/>
      <w:lvlJc w:val="left"/>
      <w:pPr>
        <w:tabs>
          <w:tab w:val="num" w:pos="2160"/>
        </w:tabs>
        <w:ind w:left="2160" w:hanging="360"/>
      </w:pPr>
      <w:rPr>
        <w:rFonts w:ascii="Arial" w:hAnsi="Arial" w:hint="default"/>
      </w:rPr>
    </w:lvl>
    <w:lvl w:ilvl="3" w:tplc="8D22FBE8" w:tentative="1">
      <w:start w:val="1"/>
      <w:numFmt w:val="bullet"/>
      <w:lvlText w:val="•"/>
      <w:lvlJc w:val="left"/>
      <w:pPr>
        <w:tabs>
          <w:tab w:val="num" w:pos="2880"/>
        </w:tabs>
        <w:ind w:left="2880" w:hanging="360"/>
      </w:pPr>
      <w:rPr>
        <w:rFonts w:ascii="Arial" w:hAnsi="Arial" w:hint="default"/>
      </w:rPr>
    </w:lvl>
    <w:lvl w:ilvl="4" w:tplc="BB346E4A" w:tentative="1">
      <w:start w:val="1"/>
      <w:numFmt w:val="bullet"/>
      <w:lvlText w:val="•"/>
      <w:lvlJc w:val="left"/>
      <w:pPr>
        <w:tabs>
          <w:tab w:val="num" w:pos="3600"/>
        </w:tabs>
        <w:ind w:left="3600" w:hanging="360"/>
      </w:pPr>
      <w:rPr>
        <w:rFonts w:ascii="Arial" w:hAnsi="Arial" w:hint="default"/>
      </w:rPr>
    </w:lvl>
    <w:lvl w:ilvl="5" w:tplc="7848BC96" w:tentative="1">
      <w:start w:val="1"/>
      <w:numFmt w:val="bullet"/>
      <w:lvlText w:val="•"/>
      <w:lvlJc w:val="left"/>
      <w:pPr>
        <w:tabs>
          <w:tab w:val="num" w:pos="4320"/>
        </w:tabs>
        <w:ind w:left="4320" w:hanging="360"/>
      </w:pPr>
      <w:rPr>
        <w:rFonts w:ascii="Arial" w:hAnsi="Arial" w:hint="default"/>
      </w:rPr>
    </w:lvl>
    <w:lvl w:ilvl="6" w:tplc="57281850" w:tentative="1">
      <w:start w:val="1"/>
      <w:numFmt w:val="bullet"/>
      <w:lvlText w:val="•"/>
      <w:lvlJc w:val="left"/>
      <w:pPr>
        <w:tabs>
          <w:tab w:val="num" w:pos="5040"/>
        </w:tabs>
        <w:ind w:left="5040" w:hanging="360"/>
      </w:pPr>
      <w:rPr>
        <w:rFonts w:ascii="Arial" w:hAnsi="Arial" w:hint="default"/>
      </w:rPr>
    </w:lvl>
    <w:lvl w:ilvl="7" w:tplc="F3FEFEE4" w:tentative="1">
      <w:start w:val="1"/>
      <w:numFmt w:val="bullet"/>
      <w:lvlText w:val="•"/>
      <w:lvlJc w:val="left"/>
      <w:pPr>
        <w:tabs>
          <w:tab w:val="num" w:pos="5760"/>
        </w:tabs>
        <w:ind w:left="5760" w:hanging="360"/>
      </w:pPr>
      <w:rPr>
        <w:rFonts w:ascii="Arial" w:hAnsi="Arial" w:hint="default"/>
      </w:rPr>
    </w:lvl>
    <w:lvl w:ilvl="8" w:tplc="0B644F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F417D"/>
    <w:multiLevelType w:val="multilevel"/>
    <w:tmpl w:val="4B740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4B13E7"/>
    <w:multiLevelType w:val="hybridMultilevel"/>
    <w:tmpl w:val="C8BE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A1464E"/>
    <w:multiLevelType w:val="multilevel"/>
    <w:tmpl w:val="CD5E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585AAB"/>
    <w:multiLevelType w:val="multilevel"/>
    <w:tmpl w:val="38D0F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7E0F92"/>
    <w:multiLevelType w:val="multilevel"/>
    <w:tmpl w:val="E7F2E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064AF3"/>
    <w:multiLevelType w:val="multilevel"/>
    <w:tmpl w:val="3718F9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3D1726"/>
    <w:multiLevelType w:val="multilevel"/>
    <w:tmpl w:val="A53A2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9E1686"/>
    <w:multiLevelType w:val="multilevel"/>
    <w:tmpl w:val="ABA2F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D20844"/>
    <w:multiLevelType w:val="hybridMultilevel"/>
    <w:tmpl w:val="D418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3C341A"/>
    <w:multiLevelType w:val="multilevel"/>
    <w:tmpl w:val="1F52E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FE12B1"/>
    <w:multiLevelType w:val="multilevel"/>
    <w:tmpl w:val="AE9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71EDE"/>
    <w:multiLevelType w:val="multilevel"/>
    <w:tmpl w:val="B39A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5"/>
  </w:num>
  <w:num w:numId="4">
    <w:abstractNumId w:val="13"/>
  </w:num>
  <w:num w:numId="5">
    <w:abstractNumId w:val="12"/>
  </w:num>
  <w:num w:numId="6">
    <w:abstractNumId w:val="3"/>
  </w:num>
  <w:num w:numId="7">
    <w:abstractNumId w:val="14"/>
  </w:num>
  <w:num w:numId="8">
    <w:abstractNumId w:val="7"/>
  </w:num>
  <w:num w:numId="9">
    <w:abstractNumId w:val="8"/>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20"/>
  </w:num>
  <w:num w:numId="17">
    <w:abstractNumId w:val="4"/>
  </w:num>
  <w:num w:numId="18">
    <w:abstractNumId w:val="19"/>
  </w:num>
  <w:num w:numId="19">
    <w:abstractNumId w:val="0"/>
  </w:num>
  <w:num w:numId="20">
    <w:abstractNumId w:val="10"/>
  </w:num>
  <w:num w:numId="21">
    <w:abstractNumId w:val="17"/>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AC"/>
    <w:rsid w:val="000404CA"/>
    <w:rsid w:val="0005078A"/>
    <w:rsid w:val="0005553D"/>
    <w:rsid w:val="000A3F26"/>
    <w:rsid w:val="00140BD8"/>
    <w:rsid w:val="0017456D"/>
    <w:rsid w:val="00186CD4"/>
    <w:rsid w:val="001D529A"/>
    <w:rsid w:val="001F2409"/>
    <w:rsid w:val="001F3A60"/>
    <w:rsid w:val="00210FBA"/>
    <w:rsid w:val="00281FE8"/>
    <w:rsid w:val="0032253F"/>
    <w:rsid w:val="00367119"/>
    <w:rsid w:val="0039323D"/>
    <w:rsid w:val="004443EF"/>
    <w:rsid w:val="004615A7"/>
    <w:rsid w:val="004C1DBF"/>
    <w:rsid w:val="00567317"/>
    <w:rsid w:val="005B0BBA"/>
    <w:rsid w:val="005B683A"/>
    <w:rsid w:val="005E0B68"/>
    <w:rsid w:val="005E61E9"/>
    <w:rsid w:val="00625B31"/>
    <w:rsid w:val="00627013"/>
    <w:rsid w:val="00696B09"/>
    <w:rsid w:val="0070548A"/>
    <w:rsid w:val="00776C9D"/>
    <w:rsid w:val="007B2A39"/>
    <w:rsid w:val="007F6FD0"/>
    <w:rsid w:val="00843E5E"/>
    <w:rsid w:val="008465D2"/>
    <w:rsid w:val="0086479C"/>
    <w:rsid w:val="008E764B"/>
    <w:rsid w:val="009F1285"/>
    <w:rsid w:val="009F461F"/>
    <w:rsid w:val="00A35CA9"/>
    <w:rsid w:val="00A82F4C"/>
    <w:rsid w:val="00A95EB1"/>
    <w:rsid w:val="00AA6B0F"/>
    <w:rsid w:val="00AB32DC"/>
    <w:rsid w:val="00B762AE"/>
    <w:rsid w:val="00BE36F8"/>
    <w:rsid w:val="00C0670F"/>
    <w:rsid w:val="00C23E7F"/>
    <w:rsid w:val="00C37EAC"/>
    <w:rsid w:val="00C71603"/>
    <w:rsid w:val="00C85CD3"/>
    <w:rsid w:val="00CF4815"/>
    <w:rsid w:val="00D0289A"/>
    <w:rsid w:val="00D411E4"/>
    <w:rsid w:val="00D85269"/>
    <w:rsid w:val="00D96DC7"/>
    <w:rsid w:val="00DE34F3"/>
    <w:rsid w:val="00E658F3"/>
    <w:rsid w:val="00ED3E85"/>
    <w:rsid w:val="00F44640"/>
    <w:rsid w:val="00F51994"/>
    <w:rsid w:val="00FD6976"/>
    <w:rsid w:val="00FD7ADD"/>
    <w:rsid w:val="00FE43AE"/>
    <w:rsid w:val="00FF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9B03"/>
  <w15:docId w15:val="{B6BD232C-F819-4D05-8B89-F3D02FAF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w:eastAsia="Avenir" w:hAnsi="Avenir" w:cs="Avenir"/>
        <w:color w:val="40404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187196"/>
      <w:sz w:val="36"/>
      <w:szCs w:val="36"/>
    </w:rPr>
  </w:style>
  <w:style w:type="paragraph" w:styleId="Heading2">
    <w:name w:val="heading 2"/>
    <w:basedOn w:val="Normal"/>
    <w:next w:val="Normal"/>
    <w:pPr>
      <w:keepNext/>
      <w:keepLines/>
      <w:pBdr>
        <w:bottom w:val="single" w:sz="6" w:space="1" w:color="000000"/>
      </w:pBdr>
      <w:spacing w:before="240" w:after="120" w:line="240" w:lineRule="auto"/>
      <w:outlineLvl w:val="1"/>
    </w:pPr>
    <w:rPr>
      <w:sz w:val="32"/>
      <w:szCs w:val="32"/>
    </w:rPr>
  </w:style>
  <w:style w:type="paragraph" w:styleId="Heading3">
    <w:name w:val="heading 3"/>
    <w:basedOn w:val="Normal"/>
    <w:next w:val="Normal"/>
    <w:pPr>
      <w:spacing w:before="240" w:after="120" w:line="240" w:lineRule="auto"/>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libri" w:eastAsia="Calibri" w:hAnsi="Calibri" w:cs="Calibri"/>
      <w:color w:val="000000"/>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58" w:type="dxa"/>
        <w:left w:w="58" w:type="dxa"/>
        <w:bottom w:w="58" w:type="dxa"/>
        <w:right w:w="58" w:type="dxa"/>
      </w:tblCellMar>
    </w:tblPr>
  </w:style>
  <w:style w:type="table" w:customStyle="1" w:styleId="a2">
    <w:basedOn w:val="TableNormal"/>
    <w:tblPr>
      <w:tblStyleRowBandSize w:val="1"/>
      <w:tblStyleColBandSize w:val="1"/>
      <w:tblCellMar>
        <w:top w:w="58" w:type="dxa"/>
        <w:left w:w="58" w:type="dxa"/>
        <w:bottom w:w="58" w:type="dxa"/>
        <w:right w:w="58"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A95EB1"/>
    <w:pPr>
      <w:spacing w:after="0" w:line="240" w:lineRule="auto"/>
      <w:ind w:left="720"/>
      <w:contextualSpacing/>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3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A9"/>
  </w:style>
  <w:style w:type="paragraph" w:styleId="Footer">
    <w:name w:val="footer"/>
    <w:basedOn w:val="Normal"/>
    <w:link w:val="FooterChar"/>
    <w:uiPriority w:val="99"/>
    <w:unhideWhenUsed/>
    <w:rsid w:val="00A3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A9"/>
  </w:style>
  <w:style w:type="paragraph" w:styleId="NormalWeb">
    <w:name w:val="Normal (Web)"/>
    <w:basedOn w:val="Normal"/>
    <w:uiPriority w:val="99"/>
    <w:semiHidden/>
    <w:unhideWhenUsed/>
    <w:rsid w:val="008E764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0684">
      <w:bodyDiv w:val="1"/>
      <w:marLeft w:val="0"/>
      <w:marRight w:val="0"/>
      <w:marTop w:val="0"/>
      <w:marBottom w:val="0"/>
      <w:divBdr>
        <w:top w:val="none" w:sz="0" w:space="0" w:color="auto"/>
        <w:left w:val="none" w:sz="0" w:space="0" w:color="auto"/>
        <w:bottom w:val="none" w:sz="0" w:space="0" w:color="auto"/>
        <w:right w:val="none" w:sz="0" w:space="0" w:color="auto"/>
      </w:divBdr>
    </w:div>
    <w:div w:id="309017960">
      <w:bodyDiv w:val="1"/>
      <w:marLeft w:val="0"/>
      <w:marRight w:val="0"/>
      <w:marTop w:val="0"/>
      <w:marBottom w:val="0"/>
      <w:divBdr>
        <w:top w:val="none" w:sz="0" w:space="0" w:color="auto"/>
        <w:left w:val="none" w:sz="0" w:space="0" w:color="auto"/>
        <w:bottom w:val="none" w:sz="0" w:space="0" w:color="auto"/>
        <w:right w:val="none" w:sz="0" w:space="0" w:color="auto"/>
      </w:divBdr>
    </w:div>
    <w:div w:id="357464099">
      <w:bodyDiv w:val="1"/>
      <w:marLeft w:val="0"/>
      <w:marRight w:val="0"/>
      <w:marTop w:val="0"/>
      <w:marBottom w:val="0"/>
      <w:divBdr>
        <w:top w:val="none" w:sz="0" w:space="0" w:color="auto"/>
        <w:left w:val="none" w:sz="0" w:space="0" w:color="auto"/>
        <w:bottom w:val="none" w:sz="0" w:space="0" w:color="auto"/>
        <w:right w:val="none" w:sz="0" w:space="0" w:color="auto"/>
      </w:divBdr>
      <w:divsChild>
        <w:div w:id="1409577765">
          <w:marLeft w:val="360"/>
          <w:marRight w:val="0"/>
          <w:marTop w:val="200"/>
          <w:marBottom w:val="0"/>
          <w:divBdr>
            <w:top w:val="none" w:sz="0" w:space="0" w:color="auto"/>
            <w:left w:val="none" w:sz="0" w:space="0" w:color="auto"/>
            <w:bottom w:val="none" w:sz="0" w:space="0" w:color="auto"/>
            <w:right w:val="none" w:sz="0" w:space="0" w:color="auto"/>
          </w:divBdr>
        </w:div>
        <w:div w:id="697506479">
          <w:marLeft w:val="360"/>
          <w:marRight w:val="0"/>
          <w:marTop w:val="200"/>
          <w:marBottom w:val="0"/>
          <w:divBdr>
            <w:top w:val="none" w:sz="0" w:space="0" w:color="auto"/>
            <w:left w:val="none" w:sz="0" w:space="0" w:color="auto"/>
            <w:bottom w:val="none" w:sz="0" w:space="0" w:color="auto"/>
            <w:right w:val="none" w:sz="0" w:space="0" w:color="auto"/>
          </w:divBdr>
        </w:div>
        <w:div w:id="774909256">
          <w:marLeft w:val="360"/>
          <w:marRight w:val="0"/>
          <w:marTop w:val="200"/>
          <w:marBottom w:val="0"/>
          <w:divBdr>
            <w:top w:val="none" w:sz="0" w:space="0" w:color="auto"/>
            <w:left w:val="none" w:sz="0" w:space="0" w:color="auto"/>
            <w:bottom w:val="none" w:sz="0" w:space="0" w:color="auto"/>
            <w:right w:val="none" w:sz="0" w:space="0" w:color="auto"/>
          </w:divBdr>
        </w:div>
        <w:div w:id="1091855085">
          <w:marLeft w:val="1080"/>
          <w:marRight w:val="0"/>
          <w:marTop w:val="100"/>
          <w:marBottom w:val="0"/>
          <w:divBdr>
            <w:top w:val="none" w:sz="0" w:space="0" w:color="auto"/>
            <w:left w:val="none" w:sz="0" w:space="0" w:color="auto"/>
            <w:bottom w:val="none" w:sz="0" w:space="0" w:color="auto"/>
            <w:right w:val="none" w:sz="0" w:space="0" w:color="auto"/>
          </w:divBdr>
        </w:div>
        <w:div w:id="1929340203">
          <w:marLeft w:val="1080"/>
          <w:marRight w:val="0"/>
          <w:marTop w:val="100"/>
          <w:marBottom w:val="0"/>
          <w:divBdr>
            <w:top w:val="none" w:sz="0" w:space="0" w:color="auto"/>
            <w:left w:val="none" w:sz="0" w:space="0" w:color="auto"/>
            <w:bottom w:val="none" w:sz="0" w:space="0" w:color="auto"/>
            <w:right w:val="none" w:sz="0" w:space="0" w:color="auto"/>
          </w:divBdr>
        </w:div>
        <w:div w:id="1527520274">
          <w:marLeft w:val="1080"/>
          <w:marRight w:val="0"/>
          <w:marTop w:val="100"/>
          <w:marBottom w:val="0"/>
          <w:divBdr>
            <w:top w:val="none" w:sz="0" w:space="0" w:color="auto"/>
            <w:left w:val="none" w:sz="0" w:space="0" w:color="auto"/>
            <w:bottom w:val="none" w:sz="0" w:space="0" w:color="auto"/>
            <w:right w:val="none" w:sz="0" w:space="0" w:color="auto"/>
          </w:divBdr>
        </w:div>
        <w:div w:id="1745373978">
          <w:marLeft w:val="1080"/>
          <w:marRight w:val="0"/>
          <w:marTop w:val="100"/>
          <w:marBottom w:val="0"/>
          <w:divBdr>
            <w:top w:val="none" w:sz="0" w:space="0" w:color="auto"/>
            <w:left w:val="none" w:sz="0" w:space="0" w:color="auto"/>
            <w:bottom w:val="none" w:sz="0" w:space="0" w:color="auto"/>
            <w:right w:val="none" w:sz="0" w:space="0" w:color="auto"/>
          </w:divBdr>
        </w:div>
        <w:div w:id="911624551">
          <w:marLeft w:val="1080"/>
          <w:marRight w:val="0"/>
          <w:marTop w:val="100"/>
          <w:marBottom w:val="0"/>
          <w:divBdr>
            <w:top w:val="none" w:sz="0" w:space="0" w:color="auto"/>
            <w:left w:val="none" w:sz="0" w:space="0" w:color="auto"/>
            <w:bottom w:val="none" w:sz="0" w:space="0" w:color="auto"/>
            <w:right w:val="none" w:sz="0" w:space="0" w:color="auto"/>
          </w:divBdr>
        </w:div>
      </w:divsChild>
    </w:div>
    <w:div w:id="366226193">
      <w:bodyDiv w:val="1"/>
      <w:marLeft w:val="0"/>
      <w:marRight w:val="0"/>
      <w:marTop w:val="0"/>
      <w:marBottom w:val="0"/>
      <w:divBdr>
        <w:top w:val="none" w:sz="0" w:space="0" w:color="auto"/>
        <w:left w:val="none" w:sz="0" w:space="0" w:color="auto"/>
        <w:bottom w:val="none" w:sz="0" w:space="0" w:color="auto"/>
        <w:right w:val="none" w:sz="0" w:space="0" w:color="auto"/>
      </w:divBdr>
    </w:div>
    <w:div w:id="886767737">
      <w:bodyDiv w:val="1"/>
      <w:marLeft w:val="0"/>
      <w:marRight w:val="0"/>
      <w:marTop w:val="0"/>
      <w:marBottom w:val="0"/>
      <w:divBdr>
        <w:top w:val="none" w:sz="0" w:space="0" w:color="auto"/>
        <w:left w:val="none" w:sz="0" w:space="0" w:color="auto"/>
        <w:bottom w:val="none" w:sz="0" w:space="0" w:color="auto"/>
        <w:right w:val="none" w:sz="0" w:space="0" w:color="auto"/>
      </w:divBdr>
    </w:div>
    <w:div w:id="1235554148">
      <w:bodyDiv w:val="1"/>
      <w:marLeft w:val="0"/>
      <w:marRight w:val="0"/>
      <w:marTop w:val="0"/>
      <w:marBottom w:val="0"/>
      <w:divBdr>
        <w:top w:val="none" w:sz="0" w:space="0" w:color="auto"/>
        <w:left w:val="none" w:sz="0" w:space="0" w:color="auto"/>
        <w:bottom w:val="none" w:sz="0" w:space="0" w:color="auto"/>
        <w:right w:val="none" w:sz="0" w:space="0" w:color="auto"/>
      </w:divBdr>
    </w:div>
    <w:div w:id="1540240640">
      <w:bodyDiv w:val="1"/>
      <w:marLeft w:val="0"/>
      <w:marRight w:val="0"/>
      <w:marTop w:val="0"/>
      <w:marBottom w:val="0"/>
      <w:divBdr>
        <w:top w:val="none" w:sz="0" w:space="0" w:color="auto"/>
        <w:left w:val="none" w:sz="0" w:space="0" w:color="auto"/>
        <w:bottom w:val="none" w:sz="0" w:space="0" w:color="auto"/>
        <w:right w:val="none" w:sz="0" w:space="0" w:color="auto"/>
      </w:divBdr>
      <w:divsChild>
        <w:div w:id="820924813">
          <w:marLeft w:val="360"/>
          <w:marRight w:val="0"/>
          <w:marTop w:val="200"/>
          <w:marBottom w:val="0"/>
          <w:divBdr>
            <w:top w:val="none" w:sz="0" w:space="0" w:color="auto"/>
            <w:left w:val="none" w:sz="0" w:space="0" w:color="auto"/>
            <w:bottom w:val="none" w:sz="0" w:space="0" w:color="auto"/>
            <w:right w:val="none" w:sz="0" w:space="0" w:color="auto"/>
          </w:divBdr>
        </w:div>
        <w:div w:id="1611350104">
          <w:marLeft w:val="360"/>
          <w:marRight w:val="0"/>
          <w:marTop w:val="200"/>
          <w:marBottom w:val="0"/>
          <w:divBdr>
            <w:top w:val="none" w:sz="0" w:space="0" w:color="auto"/>
            <w:left w:val="none" w:sz="0" w:space="0" w:color="auto"/>
            <w:bottom w:val="none" w:sz="0" w:space="0" w:color="auto"/>
            <w:right w:val="none" w:sz="0" w:space="0" w:color="auto"/>
          </w:divBdr>
        </w:div>
        <w:div w:id="1944147016">
          <w:marLeft w:val="360"/>
          <w:marRight w:val="0"/>
          <w:marTop w:val="200"/>
          <w:marBottom w:val="0"/>
          <w:divBdr>
            <w:top w:val="none" w:sz="0" w:space="0" w:color="auto"/>
            <w:left w:val="none" w:sz="0" w:space="0" w:color="auto"/>
            <w:bottom w:val="none" w:sz="0" w:space="0" w:color="auto"/>
            <w:right w:val="none" w:sz="0" w:space="0" w:color="auto"/>
          </w:divBdr>
        </w:div>
        <w:div w:id="518156576">
          <w:marLeft w:val="360"/>
          <w:marRight w:val="0"/>
          <w:marTop w:val="200"/>
          <w:marBottom w:val="0"/>
          <w:divBdr>
            <w:top w:val="none" w:sz="0" w:space="0" w:color="auto"/>
            <w:left w:val="none" w:sz="0" w:space="0" w:color="auto"/>
            <w:bottom w:val="none" w:sz="0" w:space="0" w:color="auto"/>
            <w:right w:val="none" w:sz="0" w:space="0" w:color="auto"/>
          </w:divBdr>
        </w:div>
        <w:div w:id="44645691">
          <w:marLeft w:val="360"/>
          <w:marRight w:val="0"/>
          <w:marTop w:val="200"/>
          <w:marBottom w:val="0"/>
          <w:divBdr>
            <w:top w:val="none" w:sz="0" w:space="0" w:color="auto"/>
            <w:left w:val="none" w:sz="0" w:space="0" w:color="auto"/>
            <w:bottom w:val="none" w:sz="0" w:space="0" w:color="auto"/>
            <w:right w:val="none" w:sz="0" w:space="0" w:color="auto"/>
          </w:divBdr>
        </w:div>
        <w:div w:id="28267888">
          <w:marLeft w:val="360"/>
          <w:marRight w:val="0"/>
          <w:marTop w:val="200"/>
          <w:marBottom w:val="0"/>
          <w:divBdr>
            <w:top w:val="none" w:sz="0" w:space="0" w:color="auto"/>
            <w:left w:val="none" w:sz="0" w:space="0" w:color="auto"/>
            <w:bottom w:val="none" w:sz="0" w:space="0" w:color="auto"/>
            <w:right w:val="none" w:sz="0" w:space="0" w:color="auto"/>
          </w:divBdr>
        </w:div>
      </w:divsChild>
    </w:div>
    <w:div w:id="1558737263">
      <w:bodyDiv w:val="1"/>
      <w:marLeft w:val="0"/>
      <w:marRight w:val="0"/>
      <w:marTop w:val="0"/>
      <w:marBottom w:val="0"/>
      <w:divBdr>
        <w:top w:val="none" w:sz="0" w:space="0" w:color="auto"/>
        <w:left w:val="none" w:sz="0" w:space="0" w:color="auto"/>
        <w:bottom w:val="none" w:sz="0" w:space="0" w:color="auto"/>
        <w:right w:val="none" w:sz="0" w:space="0" w:color="auto"/>
      </w:divBdr>
    </w:div>
    <w:div w:id="209270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microsoft.com/en-us/visualstudio/vsto/how-to-show-the-developer-tab-on-the-ribbon?view=vs-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65D0-D692-448E-BE01-481CAE33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Racquel Nedden</dc:creator>
  <cp:lastModifiedBy>Rebecca Roberts</cp:lastModifiedBy>
  <cp:revision>46</cp:revision>
  <dcterms:created xsi:type="dcterms:W3CDTF">2019-04-29T19:57:00Z</dcterms:created>
  <dcterms:modified xsi:type="dcterms:W3CDTF">2019-06-03T18:04:00Z</dcterms:modified>
</cp:coreProperties>
</file>